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D" w:rsidRPr="007D3AE0" w:rsidRDefault="00407B20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 xml:space="preserve"> </w:t>
      </w:r>
      <w:r w:rsidRPr="007D3AE0">
        <w:rPr>
          <w:rFonts w:ascii="Verdana" w:hAnsi="Verdana"/>
          <w:b/>
          <w:sz w:val="32"/>
          <w:szCs w:val="32"/>
          <w:u w:val="single"/>
        </w:rPr>
        <w:t xml:space="preserve">Research </w:t>
      </w:r>
      <w:r w:rsidR="00952587" w:rsidRPr="007D3AE0">
        <w:rPr>
          <w:rFonts w:ascii="Verdana" w:hAnsi="Verdana"/>
          <w:b/>
          <w:sz w:val="32"/>
          <w:szCs w:val="32"/>
          <w:u w:val="single"/>
        </w:rPr>
        <w:t>P</w:t>
      </w:r>
      <w:r w:rsidR="00B40BD7" w:rsidRPr="007D3AE0">
        <w:rPr>
          <w:rFonts w:ascii="Verdana" w:hAnsi="Verdana"/>
          <w:b/>
          <w:sz w:val="32"/>
          <w:szCs w:val="32"/>
          <w:u w:val="single"/>
        </w:rPr>
        <w:t>r</w:t>
      </w:r>
      <w:r w:rsidR="00952587" w:rsidRPr="007D3AE0">
        <w:rPr>
          <w:rFonts w:ascii="Verdana" w:hAnsi="Verdana"/>
          <w:b/>
          <w:sz w:val="32"/>
          <w:szCs w:val="32"/>
          <w:u w:val="single"/>
        </w:rPr>
        <w:t>ojects</w:t>
      </w:r>
      <w:r w:rsidRPr="007D3AE0">
        <w:rPr>
          <w:rFonts w:ascii="Verdana" w:hAnsi="Verdana"/>
          <w:b/>
          <w:sz w:val="32"/>
          <w:szCs w:val="32"/>
          <w:u w:val="single"/>
        </w:rPr>
        <w:t xml:space="preserve"> / Clinical </w:t>
      </w:r>
      <w:proofErr w:type="gramStart"/>
      <w:r w:rsidRPr="007D3AE0">
        <w:rPr>
          <w:rFonts w:ascii="Verdana" w:hAnsi="Verdana"/>
          <w:b/>
          <w:sz w:val="32"/>
          <w:szCs w:val="32"/>
          <w:u w:val="single"/>
        </w:rPr>
        <w:t>trials :</w:t>
      </w:r>
      <w:proofErr w:type="gramEnd"/>
      <w:r w:rsidRPr="007D3AE0">
        <w:rPr>
          <w:rFonts w:ascii="Verdana" w:hAnsi="Verdana"/>
          <w:b/>
          <w:sz w:val="32"/>
          <w:szCs w:val="32"/>
          <w:u w:val="single"/>
        </w:rPr>
        <w:t>-</w:t>
      </w:r>
    </w:p>
    <w:tbl>
      <w:tblPr>
        <w:tblStyle w:val="TableGrid"/>
        <w:tblW w:w="13751" w:type="dxa"/>
        <w:tblInd w:w="-1168" w:type="dxa"/>
        <w:tblLayout w:type="fixed"/>
        <w:tblLook w:val="04A0"/>
      </w:tblPr>
      <w:tblGrid>
        <w:gridCol w:w="567"/>
        <w:gridCol w:w="3119"/>
        <w:gridCol w:w="1701"/>
        <w:gridCol w:w="851"/>
        <w:gridCol w:w="1417"/>
        <w:gridCol w:w="1276"/>
        <w:gridCol w:w="567"/>
        <w:gridCol w:w="4253"/>
      </w:tblGrid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Sr.no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Title of Project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Sponsor / CRO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Phase of trial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Duration From 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Duration To</w:t>
            </w:r>
          </w:p>
        </w:tc>
        <w:tc>
          <w:tcPr>
            <w:tcW w:w="567" w:type="dxa"/>
          </w:tcPr>
          <w:p w:rsidR="00972921" w:rsidRPr="00E60463" w:rsidRDefault="00972921" w:rsidP="00972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No.of</w:t>
            </w:r>
            <w:proofErr w:type="spellEnd"/>
            <w:r>
              <w:rPr>
                <w:sz w:val="20"/>
                <w:szCs w:val="20"/>
              </w:rPr>
              <w:t xml:space="preserve"> patients enrolled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Amount Received 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Pain Management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Rofecoxib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2002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72921" w:rsidRPr="00E60463" w:rsidRDefault="00972921" w:rsidP="00B20290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Osteoarthritis/Degenerative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B20290">
              <w:rPr>
                <w:sz w:val="20"/>
                <w:szCs w:val="20"/>
              </w:rPr>
              <w:t>Rofecoxib</w:t>
            </w:r>
            <w:proofErr w:type="spellEnd"/>
            <w:r w:rsidR="00B20290">
              <w:rPr>
                <w:sz w:val="20"/>
                <w:szCs w:val="20"/>
              </w:rPr>
              <w:t xml:space="preserve"> V/s </w:t>
            </w:r>
            <w:proofErr w:type="spellStart"/>
            <w:r w:rsidR="00B20290">
              <w:rPr>
                <w:sz w:val="20"/>
                <w:szCs w:val="20"/>
              </w:rPr>
              <w:t>Diclofenac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2002</w:t>
            </w:r>
          </w:p>
        </w:tc>
        <w:tc>
          <w:tcPr>
            <w:tcW w:w="567" w:type="dxa"/>
          </w:tcPr>
          <w:p w:rsidR="00972921" w:rsidRPr="00E60463" w:rsidRDefault="00B20290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tabs>
                <w:tab w:val="left" w:pos="2792"/>
              </w:tabs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Pain Management</w:t>
            </w:r>
            <w:r>
              <w:rPr>
                <w:sz w:val="20"/>
                <w:szCs w:val="20"/>
              </w:rPr>
              <w:t xml:space="preserve"> (Naproxen)</w:t>
            </w:r>
            <w:r w:rsidRPr="00E6046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Pain Management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Nimesulide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E6046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2007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Muscoskeletal</w:t>
            </w:r>
            <w:proofErr w:type="spellEnd"/>
            <w:r w:rsidRPr="00E60463">
              <w:rPr>
                <w:sz w:val="20"/>
                <w:szCs w:val="20"/>
              </w:rPr>
              <w:t xml:space="preserve"> Spasm associated with low </w:t>
            </w:r>
            <w:r w:rsidR="00495486">
              <w:rPr>
                <w:sz w:val="20"/>
                <w:szCs w:val="20"/>
              </w:rPr>
              <w:t xml:space="preserve">BACK </w:t>
            </w:r>
            <w:r w:rsidRPr="00E60463">
              <w:rPr>
                <w:sz w:val="20"/>
                <w:szCs w:val="20"/>
              </w:rPr>
              <w:t>pain</w:t>
            </w:r>
            <w:r w:rsidR="00B20290">
              <w:rPr>
                <w:sz w:val="20"/>
                <w:szCs w:val="20"/>
              </w:rPr>
              <w:t xml:space="preserve"> (</w:t>
            </w:r>
            <w:proofErr w:type="spellStart"/>
            <w:r w:rsidR="00B20290">
              <w:rPr>
                <w:sz w:val="20"/>
                <w:szCs w:val="20"/>
              </w:rPr>
              <w:t>Zaltokin</w:t>
            </w:r>
            <w:proofErr w:type="spellEnd"/>
            <w:r w:rsidR="00B20290">
              <w:rPr>
                <w:sz w:val="20"/>
                <w:szCs w:val="20"/>
              </w:rPr>
              <w:t>)</w:t>
            </w:r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 b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2011</w:t>
            </w:r>
          </w:p>
        </w:tc>
        <w:tc>
          <w:tcPr>
            <w:tcW w:w="567" w:type="dxa"/>
          </w:tcPr>
          <w:p w:rsidR="00972921" w:rsidRPr="00E60463" w:rsidRDefault="00B20290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Osteoarthritis / Degenerative Disease </w:t>
            </w:r>
            <w:r w:rsidR="00B20290">
              <w:rPr>
                <w:sz w:val="20"/>
                <w:szCs w:val="20"/>
              </w:rPr>
              <w:t>(</w:t>
            </w:r>
            <w:proofErr w:type="spellStart"/>
            <w:r w:rsidR="00B20290">
              <w:rPr>
                <w:sz w:val="20"/>
                <w:szCs w:val="20"/>
              </w:rPr>
              <w:t>Etoricoxib</w:t>
            </w:r>
            <w:proofErr w:type="spellEnd"/>
            <w:r w:rsidR="00B2029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2011</w:t>
            </w:r>
          </w:p>
        </w:tc>
        <w:tc>
          <w:tcPr>
            <w:tcW w:w="567" w:type="dxa"/>
          </w:tcPr>
          <w:p w:rsidR="00972921" w:rsidRPr="00E60463" w:rsidRDefault="00B20290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Evaluation of Efficacy &amp; Tolerability of a fixed Dose Combination of </w:t>
            </w:r>
            <w:proofErr w:type="spellStart"/>
            <w:r w:rsidRPr="00E60463">
              <w:rPr>
                <w:sz w:val="20"/>
                <w:szCs w:val="20"/>
              </w:rPr>
              <w:t>Eperisone</w:t>
            </w:r>
            <w:proofErr w:type="spellEnd"/>
            <w:r w:rsidRPr="00E60463">
              <w:rPr>
                <w:sz w:val="20"/>
                <w:szCs w:val="20"/>
              </w:rPr>
              <w:t xml:space="preserve"> Hydrochloride &amp; </w:t>
            </w:r>
            <w:proofErr w:type="spellStart"/>
            <w:r w:rsidRPr="00E60463">
              <w:rPr>
                <w:sz w:val="20"/>
                <w:szCs w:val="20"/>
              </w:rPr>
              <w:t>Diclofenac</w:t>
            </w:r>
            <w:proofErr w:type="spellEnd"/>
            <w:r w:rsidRPr="00E60463">
              <w:rPr>
                <w:sz w:val="20"/>
                <w:szCs w:val="20"/>
              </w:rPr>
              <w:t xml:space="preserve"> Sodium In The Treatment of Acute Musculoskeletal Spasm Associated with Low Back Pain :An observer Blind , </w:t>
            </w:r>
            <w:proofErr w:type="spellStart"/>
            <w:r w:rsidRPr="00E60463">
              <w:rPr>
                <w:sz w:val="20"/>
                <w:szCs w:val="20"/>
              </w:rPr>
              <w:t>Prospective,Randomized</w:t>
            </w:r>
            <w:proofErr w:type="spellEnd"/>
            <w:r w:rsidRPr="00E60463">
              <w:rPr>
                <w:sz w:val="20"/>
                <w:szCs w:val="20"/>
              </w:rPr>
              <w:t xml:space="preserve"> , Controlled Study.</w:t>
            </w:r>
          </w:p>
        </w:tc>
        <w:tc>
          <w:tcPr>
            <w:tcW w:w="1701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EISAI </w:t>
            </w:r>
            <w:proofErr w:type="gramStart"/>
            <w:r w:rsidRPr="00E60463">
              <w:rPr>
                <w:sz w:val="20"/>
                <w:szCs w:val="20"/>
              </w:rPr>
              <w:t>Pharmaceuticals  India</w:t>
            </w:r>
            <w:proofErr w:type="gramEnd"/>
            <w:r w:rsidRPr="00E60463">
              <w:rPr>
                <w:sz w:val="20"/>
                <w:szCs w:val="20"/>
              </w:rPr>
              <w:t xml:space="preserve"> Pvt. Ltd./ CRO- </w:t>
            </w:r>
            <w:proofErr w:type="spellStart"/>
            <w:r w:rsidRPr="00E60463">
              <w:rPr>
                <w:sz w:val="20"/>
                <w:szCs w:val="20"/>
              </w:rPr>
              <w:t>Clinsearch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(National )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 b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01/02/2011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03/05/2011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3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Rs 2000 per patient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(for 10 days)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OSKIRA 2- D4300C00002: Phase 3, Multicentre, Randomized, Double Blind, Placebo-Controlled, Parallel Group Study of Two Dosing Regimens of </w:t>
            </w:r>
            <w:proofErr w:type="spellStart"/>
            <w:r w:rsidRPr="00E60463">
              <w:rPr>
                <w:sz w:val="20"/>
                <w:szCs w:val="20"/>
              </w:rPr>
              <w:t>Fostamatinib</w:t>
            </w:r>
            <w:proofErr w:type="spellEnd"/>
            <w:r w:rsidRPr="00E60463">
              <w:rPr>
                <w:sz w:val="20"/>
                <w:szCs w:val="20"/>
              </w:rPr>
              <w:t xml:space="preserve"> Disodium in Rheumatoid Arthritis Patients with an Inadequate Response to DMARDs.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AstraZeneca </w:t>
            </w:r>
            <w:proofErr w:type="spellStart"/>
            <w:r w:rsidRPr="00E60463">
              <w:rPr>
                <w:sz w:val="20"/>
                <w:szCs w:val="20"/>
              </w:rPr>
              <w:t>AB</w:t>
            </w:r>
            <w:proofErr w:type="gramStart"/>
            <w:r w:rsidRPr="00E60463">
              <w:rPr>
                <w:sz w:val="20"/>
                <w:szCs w:val="20"/>
              </w:rPr>
              <w:t>,Sweden</w:t>
            </w:r>
            <w:proofErr w:type="spellEnd"/>
            <w:proofErr w:type="gramEnd"/>
            <w:r w:rsidRPr="00E60463">
              <w:rPr>
                <w:sz w:val="20"/>
                <w:szCs w:val="20"/>
              </w:rPr>
              <w:t>./ CRO-Quintiles.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(Global)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06/04/2011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Till Date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Rs 2.37 </w:t>
            </w:r>
            <w:proofErr w:type="spellStart"/>
            <w:r w:rsidRPr="00E60463">
              <w:rPr>
                <w:sz w:val="20"/>
                <w:szCs w:val="20"/>
              </w:rPr>
              <w:t>Lakhs</w:t>
            </w:r>
            <w:proofErr w:type="spellEnd"/>
            <w:r w:rsidRPr="00E60463">
              <w:rPr>
                <w:sz w:val="20"/>
                <w:szCs w:val="20"/>
              </w:rPr>
              <w:t xml:space="preserve"> Per Patient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(for 1 year)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OSKIRA-X-D4300C00005: A long-term Extension Study to assess the safety and Efficacy of </w:t>
            </w:r>
            <w:proofErr w:type="spellStart"/>
            <w:r w:rsidRPr="00E60463">
              <w:rPr>
                <w:sz w:val="20"/>
                <w:szCs w:val="20"/>
              </w:rPr>
              <w:t>Fostamatinib</w:t>
            </w:r>
            <w:proofErr w:type="spellEnd"/>
            <w:r w:rsidRPr="00E60463">
              <w:rPr>
                <w:sz w:val="20"/>
                <w:szCs w:val="20"/>
              </w:rPr>
              <w:t xml:space="preserve"> Disodium (</w:t>
            </w:r>
            <w:proofErr w:type="spellStart"/>
            <w:r w:rsidRPr="00E60463">
              <w:rPr>
                <w:sz w:val="20"/>
                <w:szCs w:val="20"/>
              </w:rPr>
              <w:t>FosD</w:t>
            </w:r>
            <w:proofErr w:type="spellEnd"/>
            <w:r w:rsidRPr="00E60463">
              <w:rPr>
                <w:sz w:val="20"/>
                <w:szCs w:val="20"/>
              </w:rPr>
              <w:t>) in the Treatment of Rheumatoid Arthritis.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AstraZeneca </w:t>
            </w:r>
            <w:proofErr w:type="spellStart"/>
            <w:r w:rsidRPr="00E60463">
              <w:rPr>
                <w:sz w:val="20"/>
                <w:szCs w:val="20"/>
              </w:rPr>
              <w:t>AB</w:t>
            </w:r>
            <w:proofErr w:type="gramStart"/>
            <w:r w:rsidRPr="00E60463">
              <w:rPr>
                <w:sz w:val="20"/>
                <w:szCs w:val="20"/>
              </w:rPr>
              <w:t>,Sweden</w:t>
            </w:r>
            <w:proofErr w:type="spellEnd"/>
            <w:proofErr w:type="gramEnd"/>
            <w:r w:rsidRPr="00E60463">
              <w:rPr>
                <w:sz w:val="20"/>
                <w:szCs w:val="20"/>
              </w:rPr>
              <w:t>./ CRO-Quintiles.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(Global)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06/04/2011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Till Date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Rs 1,58,864 </w:t>
            </w:r>
            <w:proofErr w:type="spellStart"/>
            <w:r w:rsidRPr="00E60463">
              <w:rPr>
                <w:sz w:val="20"/>
                <w:szCs w:val="20"/>
              </w:rPr>
              <w:t>Lakhs</w:t>
            </w:r>
            <w:proofErr w:type="spellEnd"/>
            <w:r w:rsidRPr="00E60463">
              <w:rPr>
                <w:sz w:val="20"/>
                <w:szCs w:val="20"/>
              </w:rPr>
              <w:t xml:space="preserve">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Per Patient (for 1 year)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 Multicentre ,Double-Blind, Vehicle Controlled ,Parallel-Group Study Comparing a Generic </w:t>
            </w:r>
            <w:proofErr w:type="spellStart"/>
            <w:r w:rsidRPr="00E60463">
              <w:rPr>
                <w:sz w:val="20"/>
                <w:szCs w:val="20"/>
              </w:rPr>
              <w:t>Diclofenac</w:t>
            </w:r>
            <w:proofErr w:type="spellEnd"/>
            <w:r w:rsidRPr="00E60463">
              <w:rPr>
                <w:sz w:val="20"/>
                <w:szCs w:val="20"/>
              </w:rPr>
              <w:t xml:space="preserve"> Sodium Topical Gel ,1% to </w:t>
            </w:r>
            <w:proofErr w:type="spellStart"/>
            <w:r w:rsidRPr="00E60463">
              <w:rPr>
                <w:sz w:val="20"/>
                <w:szCs w:val="20"/>
              </w:rPr>
              <w:t>Voltaren</w:t>
            </w:r>
            <w:proofErr w:type="spellEnd"/>
            <w:r w:rsidRPr="00E60463">
              <w:rPr>
                <w:sz w:val="20"/>
                <w:szCs w:val="20"/>
              </w:rPr>
              <w:t xml:space="preserve"> Gel (</w:t>
            </w:r>
            <w:proofErr w:type="spellStart"/>
            <w:r w:rsidRPr="00E60463">
              <w:rPr>
                <w:sz w:val="20"/>
                <w:szCs w:val="20"/>
              </w:rPr>
              <w:t>Diclofenac</w:t>
            </w:r>
            <w:proofErr w:type="spellEnd"/>
            <w:r w:rsidRPr="00E60463">
              <w:rPr>
                <w:sz w:val="20"/>
                <w:szCs w:val="20"/>
              </w:rPr>
              <w:t xml:space="preserve"> Sodium Topical Gel) 1% in the Treatment of Subjects with Osteoarthritis of the knee.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Amneal</w:t>
            </w:r>
            <w:proofErr w:type="spellEnd"/>
            <w:r w:rsidRPr="00E60463">
              <w:rPr>
                <w:sz w:val="20"/>
                <w:szCs w:val="20"/>
              </w:rPr>
              <w:t xml:space="preserve"> pharmaceuticals, New York</w:t>
            </w:r>
            <w:proofErr w:type="gramStart"/>
            <w:r w:rsidRPr="00E60463">
              <w:rPr>
                <w:sz w:val="20"/>
                <w:szCs w:val="20"/>
              </w:rPr>
              <w:t>./</w:t>
            </w:r>
            <w:proofErr w:type="gramEnd"/>
            <w:r w:rsidRPr="00E60463">
              <w:rPr>
                <w:sz w:val="20"/>
                <w:szCs w:val="20"/>
              </w:rPr>
              <w:t xml:space="preserve"> CRO-Quintiles.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Site Selected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Rs 25,428 per patient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(For 4 months)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 control-Labeled ,prospective ,Randomized ,Parallel Group, </w:t>
            </w:r>
            <w:proofErr w:type="spellStart"/>
            <w:r w:rsidRPr="00E60463">
              <w:rPr>
                <w:sz w:val="20"/>
                <w:szCs w:val="20"/>
              </w:rPr>
              <w:t>Multicentric</w:t>
            </w:r>
            <w:proofErr w:type="spellEnd"/>
            <w:r w:rsidRPr="00E60463">
              <w:rPr>
                <w:sz w:val="20"/>
                <w:szCs w:val="20"/>
              </w:rPr>
              <w:t xml:space="preserve"> ,Phase III Clinical trial to Evaluate Efficacy &amp; Safety of a FDC of </w:t>
            </w:r>
            <w:proofErr w:type="spellStart"/>
            <w:r w:rsidRPr="00E60463">
              <w:rPr>
                <w:sz w:val="20"/>
                <w:szCs w:val="20"/>
              </w:rPr>
              <w:t>Lornoxicam</w:t>
            </w:r>
            <w:proofErr w:type="spellEnd"/>
            <w:r w:rsidRPr="00E60463">
              <w:rPr>
                <w:sz w:val="20"/>
                <w:szCs w:val="20"/>
              </w:rPr>
              <w:t xml:space="preserve"> 16 mg SR + </w:t>
            </w:r>
            <w:proofErr w:type="spellStart"/>
            <w:r w:rsidRPr="00E60463">
              <w:rPr>
                <w:sz w:val="20"/>
                <w:szCs w:val="20"/>
              </w:rPr>
              <w:t>Thiocolchicoside</w:t>
            </w:r>
            <w:proofErr w:type="spellEnd"/>
            <w:r w:rsidRPr="00E60463">
              <w:rPr>
                <w:sz w:val="20"/>
                <w:szCs w:val="20"/>
              </w:rPr>
              <w:t xml:space="preserve"> 16 mg SR Tablet OD Compared with </w:t>
            </w:r>
            <w:proofErr w:type="spellStart"/>
            <w:r w:rsidRPr="00E60463">
              <w:rPr>
                <w:sz w:val="20"/>
                <w:szCs w:val="20"/>
              </w:rPr>
              <w:t>Thiocolchicoside</w:t>
            </w:r>
            <w:proofErr w:type="spellEnd"/>
            <w:r w:rsidRPr="00E60463">
              <w:rPr>
                <w:sz w:val="20"/>
                <w:szCs w:val="20"/>
              </w:rPr>
              <w:t xml:space="preserve"> 8 mg Capsule BID in Patients suffering from pain associated with Skeletal Muscular Spasm  of any etiology. 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0463">
              <w:rPr>
                <w:sz w:val="20"/>
                <w:szCs w:val="20"/>
              </w:rPr>
              <w:t>Inventia</w:t>
            </w:r>
            <w:proofErr w:type="spellEnd"/>
            <w:r w:rsidRPr="00E60463">
              <w:rPr>
                <w:sz w:val="20"/>
                <w:szCs w:val="20"/>
              </w:rPr>
              <w:t xml:space="preserve">  Healthcare</w:t>
            </w:r>
            <w:proofErr w:type="gramEnd"/>
            <w:r w:rsidRPr="00E60463">
              <w:rPr>
                <w:sz w:val="20"/>
                <w:szCs w:val="20"/>
              </w:rPr>
              <w:t xml:space="preserve"> </w:t>
            </w:r>
            <w:proofErr w:type="spellStart"/>
            <w:r w:rsidRPr="00E60463">
              <w:rPr>
                <w:sz w:val="20"/>
                <w:szCs w:val="20"/>
              </w:rPr>
              <w:t>pvt</w:t>
            </w:r>
            <w:proofErr w:type="spellEnd"/>
            <w:r w:rsidRPr="00E60463">
              <w:rPr>
                <w:sz w:val="20"/>
                <w:szCs w:val="20"/>
              </w:rPr>
              <w:t xml:space="preserve">. Ltd. India./ CRO Nexus Clinical Research </w:t>
            </w:r>
            <w:proofErr w:type="spellStart"/>
            <w:r w:rsidRPr="00E60463">
              <w:rPr>
                <w:sz w:val="20"/>
                <w:szCs w:val="20"/>
              </w:rPr>
              <w:t>Pvt.Ltd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31-05-12</w:t>
            </w:r>
          </w:p>
        </w:tc>
        <w:tc>
          <w:tcPr>
            <w:tcW w:w="1276" w:type="dxa"/>
          </w:tcPr>
          <w:p w:rsidR="00972921" w:rsidRPr="00E60463" w:rsidRDefault="004101BB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01-08-12</w:t>
            </w: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1,500 per patient.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(for 1 month)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 Randomized , Active –Control ,Prospective ,Parallel ,Multicenter, Comparative phase –III ,Clinical  Study of Evaluate Efficacy ,Safety &amp; Tolerability  of </w:t>
            </w:r>
            <w:proofErr w:type="spellStart"/>
            <w:r w:rsidRPr="00E60463">
              <w:rPr>
                <w:sz w:val="20"/>
                <w:szCs w:val="20"/>
              </w:rPr>
              <w:t>Tapentadol</w:t>
            </w:r>
            <w:proofErr w:type="spellEnd"/>
            <w:r w:rsidRPr="00E60463">
              <w:rPr>
                <w:sz w:val="20"/>
                <w:szCs w:val="20"/>
              </w:rPr>
              <w:t xml:space="preserve"> 200 mg Sustained Release Tablet BID with </w:t>
            </w:r>
            <w:proofErr w:type="spellStart"/>
            <w:r w:rsidRPr="00E60463">
              <w:rPr>
                <w:sz w:val="20"/>
                <w:szCs w:val="20"/>
              </w:rPr>
              <w:t>Tapentadol</w:t>
            </w:r>
            <w:proofErr w:type="spellEnd"/>
            <w:r w:rsidRPr="00E60463">
              <w:rPr>
                <w:sz w:val="20"/>
                <w:szCs w:val="20"/>
              </w:rPr>
              <w:t xml:space="preserve"> 100 mg Tablet QID in Subjects Suffering with Chronic Pain of any etiology.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0463">
              <w:rPr>
                <w:sz w:val="20"/>
                <w:szCs w:val="20"/>
              </w:rPr>
              <w:t>Inventia</w:t>
            </w:r>
            <w:proofErr w:type="spellEnd"/>
            <w:r w:rsidRPr="00E60463">
              <w:rPr>
                <w:sz w:val="20"/>
                <w:szCs w:val="20"/>
              </w:rPr>
              <w:t xml:space="preserve">  Healthcare</w:t>
            </w:r>
            <w:proofErr w:type="gramEnd"/>
            <w:r w:rsidRPr="00E60463">
              <w:rPr>
                <w:sz w:val="20"/>
                <w:szCs w:val="20"/>
              </w:rPr>
              <w:t xml:space="preserve"> </w:t>
            </w:r>
            <w:proofErr w:type="spellStart"/>
            <w:r w:rsidRPr="00E60463">
              <w:rPr>
                <w:sz w:val="20"/>
                <w:szCs w:val="20"/>
              </w:rPr>
              <w:t>pvt</w:t>
            </w:r>
            <w:proofErr w:type="spellEnd"/>
            <w:r w:rsidRPr="00E60463">
              <w:rPr>
                <w:sz w:val="20"/>
                <w:szCs w:val="20"/>
              </w:rPr>
              <w:t xml:space="preserve">. Ltd. India./ CRO Nexus Clinical Research </w:t>
            </w:r>
            <w:proofErr w:type="spellStart"/>
            <w:r w:rsidRPr="00E60463">
              <w:rPr>
                <w:sz w:val="20"/>
                <w:szCs w:val="20"/>
              </w:rPr>
              <w:t>Pvt.Ltd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1,500 per patient.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(for 1 month)</w:t>
            </w: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CORRONA Registry Study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CORRONA </w:t>
            </w:r>
            <w:proofErr w:type="gramStart"/>
            <w:r w:rsidRPr="00E60463">
              <w:rPr>
                <w:sz w:val="20"/>
                <w:szCs w:val="20"/>
              </w:rPr>
              <w:t>International ,LLC,USA</w:t>
            </w:r>
            <w:proofErr w:type="gramEnd"/>
            <w:r w:rsidRPr="00E60463">
              <w:rPr>
                <w:sz w:val="20"/>
                <w:szCs w:val="20"/>
              </w:rPr>
              <w:t>/CRO –Icon Clinical Research 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Tinefcon</w:t>
            </w:r>
            <w:proofErr w:type="spellEnd"/>
            <w:r w:rsidRPr="00E60463">
              <w:rPr>
                <w:sz w:val="20"/>
                <w:szCs w:val="20"/>
              </w:rPr>
              <w:t xml:space="preserve"> /61 /11: Randomized double </w:t>
            </w:r>
            <w:proofErr w:type="gramStart"/>
            <w:r w:rsidRPr="00E60463">
              <w:rPr>
                <w:sz w:val="20"/>
                <w:szCs w:val="20"/>
              </w:rPr>
              <w:t>blind ,Parallel</w:t>
            </w:r>
            <w:proofErr w:type="gramEnd"/>
            <w:r w:rsidRPr="00E60463">
              <w:rPr>
                <w:sz w:val="20"/>
                <w:szCs w:val="20"/>
              </w:rPr>
              <w:t xml:space="preserve"> </w:t>
            </w:r>
            <w:proofErr w:type="spellStart"/>
            <w:r w:rsidRPr="00E60463">
              <w:rPr>
                <w:sz w:val="20"/>
                <w:szCs w:val="20"/>
              </w:rPr>
              <w:t>group,Placebo</w:t>
            </w:r>
            <w:proofErr w:type="spellEnd"/>
            <w:r w:rsidRPr="00E60463">
              <w:rPr>
                <w:sz w:val="20"/>
                <w:szCs w:val="20"/>
              </w:rPr>
              <w:t xml:space="preserve"> Controlled ,Prospective ,Phase II Study to evaluate The Safety And Efficacy of TNF – Alpha Inhibitor </w:t>
            </w:r>
            <w:proofErr w:type="spellStart"/>
            <w:r w:rsidRPr="00E60463">
              <w:rPr>
                <w:sz w:val="20"/>
                <w:szCs w:val="20"/>
              </w:rPr>
              <w:t>Tinefcon</w:t>
            </w:r>
            <w:proofErr w:type="spellEnd"/>
            <w:r w:rsidRPr="00E60463">
              <w:rPr>
                <w:sz w:val="20"/>
                <w:szCs w:val="20"/>
              </w:rPr>
              <w:t xml:space="preserve"> In Subjects with Active </w:t>
            </w:r>
            <w:proofErr w:type="spellStart"/>
            <w:r w:rsidRPr="00E60463">
              <w:rPr>
                <w:sz w:val="20"/>
                <w:szCs w:val="20"/>
              </w:rPr>
              <w:t>Ankylosing</w:t>
            </w:r>
            <w:proofErr w:type="spellEnd"/>
            <w:r w:rsidRPr="00E60463">
              <w:rPr>
                <w:sz w:val="20"/>
                <w:szCs w:val="20"/>
              </w:rPr>
              <w:t xml:space="preserve"> </w:t>
            </w:r>
            <w:proofErr w:type="spellStart"/>
            <w:r w:rsidRPr="00E60463">
              <w:rPr>
                <w:sz w:val="20"/>
                <w:szCs w:val="20"/>
              </w:rPr>
              <w:t>Spondylitis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Piramal</w:t>
            </w:r>
            <w:proofErr w:type="spellEnd"/>
            <w:r w:rsidRPr="00E60463">
              <w:rPr>
                <w:sz w:val="20"/>
                <w:szCs w:val="20"/>
              </w:rPr>
              <w:t xml:space="preserve"> Life Sciences Ltd./ CRO-</w:t>
            </w:r>
            <w:proofErr w:type="spellStart"/>
            <w:r w:rsidRPr="00E60463">
              <w:rPr>
                <w:sz w:val="20"/>
                <w:szCs w:val="20"/>
              </w:rPr>
              <w:t>Invocon</w:t>
            </w:r>
            <w:proofErr w:type="spellEnd"/>
            <w:r w:rsidRPr="00E60463">
              <w:rPr>
                <w:sz w:val="20"/>
                <w:szCs w:val="20"/>
              </w:rPr>
              <w:t xml:space="preserve"> Research Pvt. Ltd.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 phase III, </w:t>
            </w:r>
            <w:proofErr w:type="gramStart"/>
            <w:r w:rsidRPr="00E60463">
              <w:rPr>
                <w:sz w:val="20"/>
                <w:szCs w:val="20"/>
              </w:rPr>
              <w:t>Prospective ,Randomized</w:t>
            </w:r>
            <w:proofErr w:type="gramEnd"/>
            <w:r w:rsidRPr="00E60463">
              <w:rPr>
                <w:sz w:val="20"/>
                <w:szCs w:val="20"/>
              </w:rPr>
              <w:t xml:space="preserve"> , Interventional , Multicentre Double blind Study designed to </w:t>
            </w:r>
            <w:proofErr w:type="spellStart"/>
            <w:r w:rsidRPr="00E60463">
              <w:rPr>
                <w:sz w:val="20"/>
                <w:szCs w:val="20"/>
              </w:rPr>
              <w:t>asses</w:t>
            </w:r>
            <w:proofErr w:type="spellEnd"/>
            <w:r w:rsidRPr="00E60463">
              <w:rPr>
                <w:sz w:val="20"/>
                <w:szCs w:val="20"/>
              </w:rPr>
              <w:t xml:space="preserve"> the safety and tolerability of PTH in Postmenopausal Women suffering with osteoporosis.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 CRO-</w:t>
            </w:r>
            <w:proofErr w:type="spellStart"/>
            <w:r w:rsidRPr="00E60463">
              <w:rPr>
                <w:sz w:val="20"/>
                <w:szCs w:val="20"/>
              </w:rPr>
              <w:t>Makrocare</w:t>
            </w:r>
            <w:proofErr w:type="spellEnd"/>
            <w:r w:rsidRPr="00E60463">
              <w:rPr>
                <w:sz w:val="20"/>
                <w:szCs w:val="20"/>
              </w:rPr>
              <w:t xml:space="preserve"> Clinical Research ltd.  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A Randomized ,Double- blind ,Placebo controlled , Parallel ,</w:t>
            </w:r>
            <w:proofErr w:type="spellStart"/>
            <w:r w:rsidRPr="00E60463">
              <w:rPr>
                <w:sz w:val="20"/>
                <w:szCs w:val="20"/>
              </w:rPr>
              <w:t>Multicetre,Phase</w:t>
            </w:r>
            <w:proofErr w:type="spellEnd"/>
            <w:r w:rsidRPr="00E60463">
              <w:rPr>
                <w:sz w:val="20"/>
                <w:szCs w:val="20"/>
              </w:rPr>
              <w:t xml:space="preserve">-II Study, To evaluate The Efficacy and Safety of ITOLIZUMAB administered intravenously in combination with background oral </w:t>
            </w:r>
            <w:proofErr w:type="spellStart"/>
            <w:r w:rsidRPr="00E60463">
              <w:rPr>
                <w:sz w:val="20"/>
                <w:szCs w:val="20"/>
              </w:rPr>
              <w:t>Methotrexate</w:t>
            </w:r>
            <w:proofErr w:type="spellEnd"/>
            <w:r w:rsidRPr="00E60463">
              <w:rPr>
                <w:sz w:val="20"/>
                <w:szCs w:val="20"/>
              </w:rPr>
              <w:t xml:space="preserve"> (MTX) or MTX and </w:t>
            </w:r>
            <w:proofErr w:type="spellStart"/>
            <w:r w:rsidRPr="00E60463">
              <w:rPr>
                <w:sz w:val="20"/>
                <w:szCs w:val="20"/>
              </w:rPr>
              <w:t>hydroxychloroquine</w:t>
            </w:r>
            <w:proofErr w:type="spellEnd"/>
            <w:r w:rsidRPr="00E60463">
              <w:rPr>
                <w:sz w:val="20"/>
                <w:szCs w:val="20"/>
              </w:rPr>
              <w:t xml:space="preserve"> ( HCQ) in patients with active Rheumatoid Arthritis ( RA) having an inadequate response to MTX/MTX+HCQ 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Clinigene</w:t>
            </w:r>
            <w:proofErr w:type="spellEnd"/>
            <w:r w:rsidRPr="00E60463">
              <w:rPr>
                <w:sz w:val="20"/>
                <w:szCs w:val="20"/>
              </w:rPr>
              <w:t xml:space="preserve"> International Ltd./CRO- Axiom </w:t>
            </w:r>
            <w:proofErr w:type="spellStart"/>
            <w:r w:rsidRPr="00E60463">
              <w:rPr>
                <w:sz w:val="20"/>
                <w:szCs w:val="20"/>
              </w:rPr>
              <w:t>Lifesciences</w:t>
            </w:r>
            <w:proofErr w:type="spellEnd"/>
            <w:r w:rsidRPr="00E60463">
              <w:rPr>
                <w:sz w:val="20"/>
                <w:szCs w:val="20"/>
              </w:rPr>
              <w:t xml:space="preserve"> </w:t>
            </w:r>
            <w:proofErr w:type="spellStart"/>
            <w:r w:rsidRPr="00E60463">
              <w:rPr>
                <w:sz w:val="20"/>
                <w:szCs w:val="20"/>
              </w:rPr>
              <w:t>Pvt.Ltd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OA Knee.</w:t>
            </w: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CRO- </w:t>
            </w:r>
            <w:proofErr w:type="spellStart"/>
            <w:r w:rsidRPr="00E60463">
              <w:rPr>
                <w:sz w:val="20"/>
                <w:szCs w:val="20"/>
              </w:rPr>
              <w:t>Standev</w:t>
            </w:r>
            <w:proofErr w:type="spellEnd"/>
            <w:r w:rsidRPr="00E60463">
              <w:rPr>
                <w:sz w:val="20"/>
                <w:szCs w:val="20"/>
              </w:rPr>
              <w:t xml:space="preserve"> Research </w:t>
            </w:r>
            <w:proofErr w:type="spellStart"/>
            <w:r w:rsidRPr="00E60463">
              <w:rPr>
                <w:sz w:val="20"/>
                <w:szCs w:val="20"/>
              </w:rPr>
              <w:t>Pvt.Ltd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An investigator-blinded ,placebo-controlled ,randomized ,parallel group comparison of the effects of a single dose of </w:t>
            </w:r>
            <w:proofErr w:type="spellStart"/>
            <w:r w:rsidRPr="00E60463">
              <w:rPr>
                <w:sz w:val="20"/>
                <w:szCs w:val="20"/>
              </w:rPr>
              <w:t>Maxigesic</w:t>
            </w:r>
            <w:proofErr w:type="spellEnd"/>
            <w:r w:rsidRPr="00E60463">
              <w:rPr>
                <w:sz w:val="20"/>
                <w:szCs w:val="20"/>
              </w:rPr>
              <w:t xml:space="preserve"> (</w:t>
            </w:r>
            <w:proofErr w:type="spellStart"/>
            <w:r w:rsidRPr="00E60463">
              <w:rPr>
                <w:sz w:val="20"/>
                <w:szCs w:val="20"/>
              </w:rPr>
              <w:t>Paracetamol</w:t>
            </w:r>
            <w:proofErr w:type="spellEnd"/>
            <w:r w:rsidRPr="00E60463">
              <w:rPr>
                <w:sz w:val="20"/>
                <w:szCs w:val="20"/>
              </w:rPr>
              <w:t xml:space="preserve"> 325 mg + Ibuprofen 97.5 mg -3 tablets ) versus </w:t>
            </w:r>
            <w:proofErr w:type="spellStart"/>
            <w:r w:rsidRPr="00E60463">
              <w:rPr>
                <w:sz w:val="20"/>
                <w:szCs w:val="20"/>
              </w:rPr>
              <w:t>Nurofen</w:t>
            </w:r>
            <w:proofErr w:type="spellEnd"/>
            <w:r w:rsidRPr="00E60463">
              <w:rPr>
                <w:sz w:val="20"/>
                <w:szCs w:val="20"/>
              </w:rPr>
              <w:t xml:space="preserve"> (ibuprofen 400 mg) in participants with moderate to severe pain from removal of at least two third molars.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proofErr w:type="spellStart"/>
            <w:r w:rsidRPr="00E60463">
              <w:rPr>
                <w:sz w:val="20"/>
                <w:szCs w:val="20"/>
              </w:rPr>
              <w:t>Synchron</w:t>
            </w:r>
            <w:proofErr w:type="spellEnd"/>
            <w:r w:rsidRPr="00E60463">
              <w:rPr>
                <w:sz w:val="20"/>
                <w:szCs w:val="20"/>
              </w:rPr>
              <w:t xml:space="preserve"> Research Services Pvt. Ltd.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0"/>
        </w:trPr>
        <w:tc>
          <w:tcPr>
            <w:tcW w:w="567" w:type="dxa"/>
          </w:tcPr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72921" w:rsidRPr="00E60463" w:rsidRDefault="00972921" w:rsidP="00D57178">
            <w:pPr>
              <w:ind w:left="73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pStyle w:val="Header"/>
              <w:tabs>
                <w:tab w:val="right" w:pos="9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463">
              <w:rPr>
                <w:rFonts w:ascii="Times New Roman" w:hAnsi="Times New Roman"/>
                <w:bCs/>
                <w:sz w:val="20"/>
                <w:szCs w:val="20"/>
              </w:rPr>
              <w:t xml:space="preserve">“A Randomized, Active-Control, Prospective, 2 Arm Parallel Group, Multicenter, Phase- III Clinical Study to Evaluate the Efficacy, Safety and Tolerability of </w:t>
            </w:r>
            <w:proofErr w:type="spellStart"/>
            <w:r w:rsidRPr="00E60463">
              <w:rPr>
                <w:rFonts w:ascii="Times New Roman" w:hAnsi="Times New Roman"/>
                <w:bCs/>
                <w:sz w:val="20"/>
                <w:szCs w:val="20"/>
              </w:rPr>
              <w:t>Minodronic</w:t>
            </w:r>
            <w:proofErr w:type="spellEnd"/>
            <w:r w:rsidRPr="00E60463">
              <w:rPr>
                <w:rFonts w:ascii="Times New Roman" w:hAnsi="Times New Roman"/>
                <w:bCs/>
                <w:sz w:val="20"/>
                <w:szCs w:val="20"/>
              </w:rPr>
              <w:t xml:space="preserve"> acid 50mg Tablet, Once Per 4 Weeks in comparison with </w:t>
            </w:r>
            <w:proofErr w:type="spellStart"/>
            <w:r w:rsidRPr="00E60463">
              <w:rPr>
                <w:rFonts w:ascii="Times New Roman" w:hAnsi="Times New Roman"/>
                <w:bCs/>
                <w:sz w:val="20"/>
                <w:szCs w:val="20"/>
              </w:rPr>
              <w:t>Alendronic</w:t>
            </w:r>
            <w:proofErr w:type="spellEnd"/>
            <w:r w:rsidRPr="00E60463">
              <w:rPr>
                <w:rFonts w:ascii="Times New Roman" w:hAnsi="Times New Roman"/>
                <w:bCs/>
                <w:sz w:val="20"/>
                <w:szCs w:val="20"/>
              </w:rPr>
              <w:t xml:space="preserve"> Acid 70mg Tablet, Once Weekly in Postmenopausal Women Diagnosed with Osteoporosis”</w:t>
            </w:r>
          </w:p>
          <w:p w:rsidR="00972921" w:rsidRPr="00E60463" w:rsidRDefault="00972921" w:rsidP="00D57178">
            <w:pPr>
              <w:pStyle w:val="Header"/>
              <w:tabs>
                <w:tab w:val="right" w:pos="91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2921" w:rsidRPr="00E60463" w:rsidRDefault="00972921" w:rsidP="00D57178">
            <w:pPr>
              <w:ind w:left="73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ind w:left="736"/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ind w:left="73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MSN Laboratories India </w:t>
            </w:r>
            <w:proofErr w:type="spellStart"/>
            <w:r w:rsidRPr="00E60463">
              <w:rPr>
                <w:sz w:val="20"/>
                <w:szCs w:val="20"/>
              </w:rPr>
              <w:t>Pvt.Ltd</w:t>
            </w:r>
            <w:proofErr w:type="spellEnd"/>
            <w:r w:rsidRPr="00E6046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 xml:space="preserve">Phase </w:t>
            </w: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972921" w:rsidRPr="00E60463" w:rsidRDefault="00972921" w:rsidP="00F958A9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3,500 per Patient</w:t>
            </w:r>
          </w:p>
          <w:p w:rsidR="00972921" w:rsidRPr="00E60463" w:rsidRDefault="00972921">
            <w:pPr>
              <w:rPr>
                <w:sz w:val="20"/>
                <w:szCs w:val="20"/>
              </w:rPr>
            </w:pPr>
          </w:p>
          <w:p w:rsidR="00972921" w:rsidRPr="00E60463" w:rsidRDefault="00972921" w:rsidP="00D57178">
            <w:pPr>
              <w:rPr>
                <w:sz w:val="20"/>
                <w:szCs w:val="20"/>
              </w:rPr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Pr="00E60463" w:rsidRDefault="00972921" w:rsidP="007435E9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72921" w:rsidRPr="00E60463" w:rsidRDefault="00972921" w:rsidP="001B76FC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A Multicenter, Randomized  ,Double-blind , Placebo-controlled, Parallel Group Study of CNTO 136 (</w:t>
            </w:r>
            <w:proofErr w:type="spellStart"/>
            <w:r w:rsidRPr="00E60463">
              <w:rPr>
                <w:sz w:val="20"/>
                <w:szCs w:val="20"/>
              </w:rPr>
              <w:t>sirukumab</w:t>
            </w:r>
            <w:proofErr w:type="spellEnd"/>
            <w:r w:rsidRPr="00E60463">
              <w:rPr>
                <w:sz w:val="20"/>
                <w:szCs w:val="20"/>
              </w:rPr>
              <w:t xml:space="preserve"> ),a Human Anti-IL-6  Monoclonal Antibody ,Administered Subcutaneously , in Subjects  with Active Rheumatoid Arthritis Despite DMARD Therapy .</w:t>
            </w:r>
          </w:p>
        </w:tc>
        <w:tc>
          <w:tcPr>
            <w:tcW w:w="1701" w:type="dxa"/>
          </w:tcPr>
          <w:p w:rsidR="00972921" w:rsidRPr="00E60463" w:rsidRDefault="00972921" w:rsidP="00305337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PAREXEL  INTERNATIONAL Clinical Research Pvt. Ltd.(CRO- Janssen research &amp; Development , LLC )</w:t>
            </w:r>
          </w:p>
        </w:tc>
        <w:tc>
          <w:tcPr>
            <w:tcW w:w="851" w:type="dxa"/>
          </w:tcPr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3E39B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72921" w:rsidRPr="00E60463" w:rsidRDefault="00972921" w:rsidP="00D57178">
            <w:pPr>
              <w:ind w:left="1276"/>
              <w:rPr>
                <w:sz w:val="20"/>
                <w:szCs w:val="20"/>
              </w:rPr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Default="00972921" w:rsidP="00D57178">
            <w:pPr>
              <w:ind w:left="1276"/>
            </w:pPr>
            <w:r>
              <w:t>21</w:t>
            </w:r>
          </w:p>
          <w:p w:rsidR="00972921" w:rsidRPr="0078674C" w:rsidRDefault="00972921" w:rsidP="0078674C">
            <w:r>
              <w:t>21</w:t>
            </w:r>
          </w:p>
        </w:tc>
        <w:tc>
          <w:tcPr>
            <w:tcW w:w="3119" w:type="dxa"/>
          </w:tcPr>
          <w:p w:rsidR="00972921" w:rsidRDefault="00972921" w:rsidP="00FF76A8">
            <w:pPr>
              <w:pStyle w:val="Default"/>
            </w:pPr>
          </w:p>
          <w:p w:rsidR="00972921" w:rsidRDefault="00972921" w:rsidP="00FF76A8">
            <w:r>
              <w:t xml:space="preserve"> </w:t>
            </w:r>
            <w:r>
              <w:rPr>
                <w:sz w:val="23"/>
                <w:szCs w:val="23"/>
              </w:rPr>
              <w:t xml:space="preserve">A Randomized, Double-Blind Placebo-Controlled 52-Week Study to Assess Adverse Events of Special Interest in Adults with Active, Autoantibody-Positive Systemic Lupus </w:t>
            </w:r>
            <w:proofErr w:type="spellStart"/>
            <w:r>
              <w:rPr>
                <w:sz w:val="23"/>
                <w:szCs w:val="23"/>
              </w:rPr>
              <w:t>Erythematosus</w:t>
            </w:r>
            <w:proofErr w:type="spellEnd"/>
            <w:r>
              <w:rPr>
                <w:sz w:val="23"/>
                <w:szCs w:val="23"/>
              </w:rPr>
              <w:t xml:space="preserve"> Receiving </w:t>
            </w:r>
            <w:proofErr w:type="spellStart"/>
            <w:r>
              <w:rPr>
                <w:sz w:val="23"/>
                <w:szCs w:val="23"/>
              </w:rPr>
              <w:t>Belimumab</w:t>
            </w:r>
            <w:proofErr w:type="spellEnd"/>
          </w:p>
        </w:tc>
        <w:tc>
          <w:tcPr>
            <w:tcW w:w="1701" w:type="dxa"/>
          </w:tcPr>
          <w:p w:rsidR="00972921" w:rsidRDefault="00972921" w:rsidP="00FF76A8">
            <w:r>
              <w:t>CRO - Quintiles</w:t>
            </w:r>
          </w:p>
        </w:tc>
        <w:tc>
          <w:tcPr>
            <w:tcW w:w="851" w:type="dxa"/>
          </w:tcPr>
          <w:p w:rsidR="00972921" w:rsidRDefault="00972921" w:rsidP="00FF76A8">
            <w:pPr>
              <w:ind w:left="1276"/>
            </w:pPr>
          </w:p>
        </w:tc>
        <w:tc>
          <w:tcPr>
            <w:tcW w:w="1417" w:type="dxa"/>
          </w:tcPr>
          <w:p w:rsidR="00972921" w:rsidRDefault="00972921" w:rsidP="00FF76A8">
            <w:r>
              <w:t>Feasibility Filled</w:t>
            </w:r>
          </w:p>
        </w:tc>
        <w:tc>
          <w:tcPr>
            <w:tcW w:w="1276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4253" w:type="dxa"/>
          </w:tcPr>
          <w:p w:rsidR="00972921" w:rsidRDefault="00972921" w:rsidP="00D57178">
            <w:pPr>
              <w:ind w:left="1276"/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  <w:p w:rsidR="00972921" w:rsidRPr="0078674C" w:rsidRDefault="00972921" w:rsidP="0078674C">
            <w:r>
              <w:t>22</w:t>
            </w:r>
          </w:p>
        </w:tc>
        <w:tc>
          <w:tcPr>
            <w:tcW w:w="3119" w:type="dxa"/>
          </w:tcPr>
          <w:p w:rsidR="00972921" w:rsidRPr="00E60463" w:rsidRDefault="00972921" w:rsidP="00E6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E60463">
              <w:rPr>
                <w:sz w:val="20"/>
                <w:szCs w:val="20"/>
              </w:rPr>
              <w:t xml:space="preserve"> </w:t>
            </w:r>
            <w:proofErr w:type="gramStart"/>
            <w:r w:rsidRPr="00E60463">
              <w:rPr>
                <w:sz w:val="20"/>
                <w:szCs w:val="20"/>
              </w:rPr>
              <w:t>Randomized  ,Double</w:t>
            </w:r>
            <w:proofErr w:type="gramEnd"/>
            <w:r w:rsidRPr="00E60463">
              <w:rPr>
                <w:sz w:val="20"/>
                <w:szCs w:val="20"/>
              </w:rPr>
              <w:t xml:space="preserve">-blind , </w:t>
            </w:r>
            <w:r>
              <w:rPr>
                <w:sz w:val="20"/>
                <w:szCs w:val="20"/>
              </w:rPr>
              <w:t xml:space="preserve">Placebo &amp; active </w:t>
            </w:r>
            <w:r w:rsidRPr="00E60463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ntrolled, Parallel Group Study to evaluate the analgesic efficacy &amp; safety of a  fixed combination of </w:t>
            </w:r>
            <w:proofErr w:type="spellStart"/>
            <w:r>
              <w:rPr>
                <w:sz w:val="20"/>
                <w:szCs w:val="20"/>
              </w:rPr>
              <w:lastRenderedPageBreak/>
              <w:t>dexketoprofen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trametamol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tramadol</w:t>
            </w:r>
            <w:proofErr w:type="spellEnd"/>
            <w:r>
              <w:rPr>
                <w:sz w:val="20"/>
                <w:szCs w:val="20"/>
              </w:rPr>
              <w:t xml:space="preserve"> hydrochloride on moderate to severe acute pain after unilateral elective total hip </w:t>
            </w:r>
            <w:proofErr w:type="spellStart"/>
            <w:r>
              <w:rPr>
                <w:sz w:val="20"/>
                <w:szCs w:val="20"/>
              </w:rPr>
              <w:t>arthroplasty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2921" w:rsidRPr="00E60463" w:rsidRDefault="00972921" w:rsidP="00FF76A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lastRenderedPageBreak/>
              <w:t>PAREXEL  INTERNATIONAL Clinical Research Pvt. Ltd.</w:t>
            </w:r>
          </w:p>
        </w:tc>
        <w:tc>
          <w:tcPr>
            <w:tcW w:w="851" w:type="dxa"/>
          </w:tcPr>
          <w:p w:rsidR="00972921" w:rsidRPr="00E60463" w:rsidRDefault="00972921" w:rsidP="00FF76A8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921" w:rsidRPr="00E60463" w:rsidRDefault="00972921" w:rsidP="00FF76A8">
            <w:pPr>
              <w:rPr>
                <w:sz w:val="20"/>
                <w:szCs w:val="20"/>
              </w:rPr>
            </w:pPr>
            <w:r w:rsidRPr="00E60463">
              <w:rPr>
                <w:sz w:val="20"/>
                <w:szCs w:val="20"/>
              </w:rPr>
              <w:t>Feasibility Filled</w:t>
            </w:r>
          </w:p>
        </w:tc>
        <w:tc>
          <w:tcPr>
            <w:tcW w:w="1276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4253" w:type="dxa"/>
          </w:tcPr>
          <w:p w:rsidR="00972921" w:rsidRDefault="00972921" w:rsidP="00D57178">
            <w:pPr>
              <w:ind w:left="1276"/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Default="00811AED" w:rsidP="00811AED">
            <w:r>
              <w:lastRenderedPageBreak/>
              <w:t>23</w:t>
            </w:r>
          </w:p>
        </w:tc>
        <w:tc>
          <w:tcPr>
            <w:tcW w:w="3119" w:type="dxa"/>
          </w:tcPr>
          <w:p w:rsidR="00972921" w:rsidRDefault="00972921" w:rsidP="00B562AB">
            <w:r>
              <w:t xml:space="preserve">CRECEL Study- Evaluation of clinical &amp; </w:t>
            </w:r>
            <w:proofErr w:type="spellStart"/>
            <w:r>
              <w:t>linezolid</w:t>
            </w:r>
            <w:proofErr w:type="spellEnd"/>
            <w:r>
              <w:t xml:space="preserve"> combination </w:t>
            </w:r>
          </w:p>
        </w:tc>
        <w:tc>
          <w:tcPr>
            <w:tcW w:w="1701" w:type="dxa"/>
          </w:tcPr>
          <w:p w:rsidR="00972921" w:rsidRDefault="00972921" w:rsidP="00B562AB">
            <w:r>
              <w:t>FDC</w:t>
            </w:r>
          </w:p>
        </w:tc>
        <w:tc>
          <w:tcPr>
            <w:tcW w:w="851" w:type="dxa"/>
          </w:tcPr>
          <w:p w:rsidR="00972921" w:rsidRDefault="00F957B9" w:rsidP="00F957B9">
            <w:r>
              <w:t>IV</w:t>
            </w:r>
          </w:p>
        </w:tc>
        <w:tc>
          <w:tcPr>
            <w:tcW w:w="1417" w:type="dxa"/>
          </w:tcPr>
          <w:p w:rsidR="00972921" w:rsidRPr="00E60463" w:rsidRDefault="00F957B9" w:rsidP="00B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2012</w:t>
            </w:r>
          </w:p>
        </w:tc>
        <w:tc>
          <w:tcPr>
            <w:tcW w:w="1276" w:type="dxa"/>
          </w:tcPr>
          <w:p w:rsidR="00972921" w:rsidRDefault="00F957B9" w:rsidP="00F957B9">
            <w:r>
              <w:t>August 2012</w:t>
            </w:r>
          </w:p>
        </w:tc>
        <w:tc>
          <w:tcPr>
            <w:tcW w:w="567" w:type="dxa"/>
          </w:tcPr>
          <w:p w:rsidR="00972921" w:rsidRDefault="00F957B9" w:rsidP="00F957B9">
            <w:r>
              <w:t>2</w:t>
            </w:r>
          </w:p>
        </w:tc>
        <w:tc>
          <w:tcPr>
            <w:tcW w:w="4253" w:type="dxa"/>
          </w:tcPr>
          <w:p w:rsidR="00972921" w:rsidRDefault="00972921" w:rsidP="00D57178">
            <w:pPr>
              <w:ind w:left="1276"/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  <w:p w:rsidR="00972921" w:rsidRDefault="00972921" w:rsidP="0078674C"/>
          <w:p w:rsidR="00972921" w:rsidRPr="0078674C" w:rsidRDefault="00972921" w:rsidP="0078674C">
            <w:r>
              <w:t>24</w:t>
            </w:r>
          </w:p>
        </w:tc>
        <w:tc>
          <w:tcPr>
            <w:tcW w:w="3119" w:type="dxa"/>
          </w:tcPr>
          <w:p w:rsidR="00972921" w:rsidRPr="00B562AB" w:rsidRDefault="00972921" w:rsidP="00B562AB">
            <w:pPr>
              <w:pStyle w:val="Default"/>
              <w:rPr>
                <w:sz w:val="20"/>
                <w:szCs w:val="20"/>
              </w:rPr>
            </w:pPr>
            <w:r w:rsidRPr="00B562AB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Pr="00B562AB">
              <w:rPr>
                <w:bCs/>
                <w:sz w:val="20"/>
                <w:szCs w:val="20"/>
              </w:rPr>
              <w:t>Randomised</w:t>
            </w:r>
            <w:proofErr w:type="spellEnd"/>
            <w:r w:rsidRPr="00B562AB">
              <w:rPr>
                <w:bCs/>
                <w:sz w:val="20"/>
                <w:szCs w:val="20"/>
              </w:rPr>
              <w:t xml:space="preserve">, Double-blind, Parallel Group, Multicentre Clinical Study to Evaluate the Efficacy, Safety, Pharmacokinetics and Immunogenicity of SB4 Compared to </w:t>
            </w:r>
            <w:proofErr w:type="spellStart"/>
            <w:r w:rsidRPr="00B562AB">
              <w:rPr>
                <w:bCs/>
                <w:sz w:val="20"/>
                <w:szCs w:val="20"/>
              </w:rPr>
              <w:t>Enbrel</w:t>
            </w:r>
            <w:proofErr w:type="spellEnd"/>
            <w:r w:rsidRPr="00B562AB">
              <w:rPr>
                <w:rFonts w:ascii="Arial" w:hAnsi="Arial" w:cs="Arial"/>
                <w:bCs/>
                <w:sz w:val="20"/>
                <w:szCs w:val="20"/>
              </w:rPr>
              <w:t xml:space="preserve">® </w:t>
            </w:r>
            <w:r w:rsidRPr="00B562AB">
              <w:rPr>
                <w:bCs/>
                <w:sz w:val="20"/>
                <w:szCs w:val="20"/>
              </w:rPr>
              <w:t xml:space="preserve">in Patients with Moderate to Severe Rheumatoid Arthritis </w:t>
            </w:r>
          </w:p>
          <w:p w:rsidR="00972921" w:rsidRPr="00B562AB" w:rsidRDefault="00972921" w:rsidP="00B562AB"/>
        </w:tc>
        <w:tc>
          <w:tcPr>
            <w:tcW w:w="1701" w:type="dxa"/>
          </w:tcPr>
          <w:p w:rsidR="00972921" w:rsidRDefault="00972921" w:rsidP="00B562AB">
            <w:r>
              <w:t>SAMSUNG BIOEPIS</w:t>
            </w:r>
          </w:p>
        </w:tc>
        <w:tc>
          <w:tcPr>
            <w:tcW w:w="851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1417" w:type="dxa"/>
          </w:tcPr>
          <w:p w:rsidR="00972921" w:rsidRPr="00E60463" w:rsidRDefault="00F653F8" w:rsidP="00B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Selected</w:t>
            </w:r>
          </w:p>
        </w:tc>
        <w:tc>
          <w:tcPr>
            <w:tcW w:w="1276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4253" w:type="dxa"/>
          </w:tcPr>
          <w:p w:rsidR="00972921" w:rsidRDefault="00972921" w:rsidP="00D57178">
            <w:pPr>
              <w:ind w:left="1276"/>
            </w:pPr>
          </w:p>
        </w:tc>
      </w:tr>
      <w:tr w:rsidR="00972921" w:rsidTr="0081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972921" w:rsidRDefault="00A31AFB" w:rsidP="00D57178">
            <w:pPr>
              <w:ind w:left="1276"/>
            </w:pPr>
            <w:r>
              <w:t>25</w:t>
            </w:r>
          </w:p>
        </w:tc>
        <w:tc>
          <w:tcPr>
            <w:tcW w:w="3119" w:type="dxa"/>
          </w:tcPr>
          <w:p w:rsidR="00972921" w:rsidRPr="00B562AB" w:rsidRDefault="00A31AFB" w:rsidP="00B562A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Multicentre, randomized, open </w:t>
            </w:r>
            <w:proofErr w:type="spellStart"/>
            <w:r>
              <w:rPr>
                <w:bCs/>
                <w:sz w:val="20"/>
                <w:szCs w:val="20"/>
              </w:rPr>
              <w:t>lable</w:t>
            </w:r>
            <w:proofErr w:type="spellEnd"/>
            <w:r>
              <w:rPr>
                <w:bCs/>
                <w:sz w:val="20"/>
                <w:szCs w:val="20"/>
              </w:rPr>
              <w:t>,  two period, two treatment, two way ,</w:t>
            </w:r>
            <w:proofErr w:type="spellStart"/>
            <w:r>
              <w:rPr>
                <w:bCs/>
                <w:sz w:val="20"/>
                <w:szCs w:val="20"/>
              </w:rPr>
              <w:t>crossober</w:t>
            </w:r>
            <w:proofErr w:type="spellEnd"/>
            <w:r>
              <w:rPr>
                <w:bCs/>
                <w:sz w:val="20"/>
                <w:szCs w:val="20"/>
              </w:rPr>
              <w:t xml:space="preserve">, single dose, bioequivalence study </w:t>
            </w:r>
            <w:proofErr w:type="spellStart"/>
            <w:r>
              <w:rPr>
                <w:bCs/>
                <w:sz w:val="20"/>
                <w:szCs w:val="20"/>
              </w:rPr>
              <w:t>compairing</w:t>
            </w:r>
            <w:proofErr w:type="spellEnd"/>
            <w:r>
              <w:rPr>
                <w:bCs/>
                <w:sz w:val="20"/>
                <w:szCs w:val="20"/>
              </w:rPr>
              <w:t xml:space="preserve"> , </w:t>
            </w:r>
            <w:proofErr w:type="spellStart"/>
            <w:r>
              <w:rPr>
                <w:bCs/>
                <w:sz w:val="20"/>
                <w:szCs w:val="20"/>
              </w:rPr>
              <w:t>Azathioprine</w:t>
            </w:r>
            <w:proofErr w:type="spellEnd"/>
            <w:r>
              <w:rPr>
                <w:bCs/>
                <w:sz w:val="20"/>
                <w:szCs w:val="20"/>
              </w:rPr>
              <w:t xml:space="preserve"> tablets USP 50 mg strides </w:t>
            </w:r>
            <w:proofErr w:type="spellStart"/>
            <w:r>
              <w:rPr>
                <w:bCs/>
                <w:sz w:val="20"/>
                <w:szCs w:val="20"/>
              </w:rPr>
              <w:t>arco</w:t>
            </w:r>
            <w:proofErr w:type="spellEnd"/>
            <w:r>
              <w:rPr>
                <w:bCs/>
                <w:sz w:val="20"/>
                <w:szCs w:val="20"/>
              </w:rPr>
              <w:t xml:space="preserve"> lab limited (India) with </w:t>
            </w:r>
            <w:proofErr w:type="spellStart"/>
            <w:r>
              <w:rPr>
                <w:bCs/>
                <w:sz w:val="20"/>
                <w:szCs w:val="20"/>
              </w:rPr>
              <w:t>Imuran</w:t>
            </w:r>
            <w:proofErr w:type="spellEnd"/>
            <w:r>
              <w:rPr>
                <w:bCs/>
                <w:sz w:val="20"/>
                <w:szCs w:val="20"/>
              </w:rPr>
              <w:t xml:space="preserve"> 50 mg  </w:t>
            </w:r>
            <w:proofErr w:type="spellStart"/>
            <w:r>
              <w:rPr>
                <w:bCs/>
                <w:sz w:val="20"/>
                <w:szCs w:val="20"/>
              </w:rPr>
              <w:t>Azathiprine</w:t>
            </w:r>
            <w:proofErr w:type="spellEnd"/>
            <w:r>
              <w:rPr>
                <w:bCs/>
                <w:sz w:val="20"/>
                <w:szCs w:val="20"/>
              </w:rPr>
              <w:t xml:space="preserve"> tablets USP 50 mg PROMETHUS LABORATORIES INC. in adults patients with Rheumatoid Arthritis under fasting conditions</w:t>
            </w:r>
          </w:p>
        </w:tc>
        <w:tc>
          <w:tcPr>
            <w:tcW w:w="1701" w:type="dxa"/>
          </w:tcPr>
          <w:p w:rsidR="00972921" w:rsidRDefault="00A31AFB" w:rsidP="00B562AB">
            <w:r>
              <w:t xml:space="preserve">Strides </w:t>
            </w:r>
            <w:proofErr w:type="spellStart"/>
            <w:r>
              <w:t>Arcolab</w:t>
            </w:r>
            <w:proofErr w:type="spellEnd"/>
            <w:r>
              <w:t xml:space="preserve"> Limited.</w:t>
            </w:r>
          </w:p>
          <w:p w:rsidR="00A31AFB" w:rsidRDefault="00A31AFB" w:rsidP="00B562AB">
            <w:r>
              <w:t>Bangalore</w:t>
            </w:r>
          </w:p>
          <w:p w:rsidR="00A31AFB" w:rsidRDefault="00A31AFB" w:rsidP="00B562AB">
            <w:r>
              <w:t>(INDIA).</w:t>
            </w:r>
          </w:p>
        </w:tc>
        <w:tc>
          <w:tcPr>
            <w:tcW w:w="851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1417" w:type="dxa"/>
          </w:tcPr>
          <w:p w:rsidR="00972921" w:rsidRPr="00E60463" w:rsidRDefault="00972921" w:rsidP="00B828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567" w:type="dxa"/>
          </w:tcPr>
          <w:p w:rsidR="00972921" w:rsidRDefault="00972921" w:rsidP="00D57178">
            <w:pPr>
              <w:ind w:left="1276"/>
            </w:pPr>
          </w:p>
        </w:tc>
        <w:tc>
          <w:tcPr>
            <w:tcW w:w="4253" w:type="dxa"/>
          </w:tcPr>
          <w:p w:rsidR="00972921" w:rsidRDefault="00972921" w:rsidP="00D57178">
            <w:pPr>
              <w:ind w:left="1276"/>
            </w:pPr>
          </w:p>
        </w:tc>
      </w:tr>
    </w:tbl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p w:rsidR="009B68F1" w:rsidRDefault="009B68F1" w:rsidP="008A6FF7"/>
    <w:sectPr w:rsidR="009B68F1" w:rsidSect="006C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2915"/>
    <w:multiLevelType w:val="hybridMultilevel"/>
    <w:tmpl w:val="A3F2E470"/>
    <w:lvl w:ilvl="0" w:tplc="4768C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27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A44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0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C2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E3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46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0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01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86D"/>
    <w:rsid w:val="00097052"/>
    <w:rsid w:val="000D61AB"/>
    <w:rsid w:val="00157525"/>
    <w:rsid w:val="00161E60"/>
    <w:rsid w:val="00183B94"/>
    <w:rsid w:val="001B76FC"/>
    <w:rsid w:val="002066A6"/>
    <w:rsid w:val="002633CE"/>
    <w:rsid w:val="002B2FBC"/>
    <w:rsid w:val="00305337"/>
    <w:rsid w:val="00363A60"/>
    <w:rsid w:val="00375F28"/>
    <w:rsid w:val="0037771C"/>
    <w:rsid w:val="00381249"/>
    <w:rsid w:val="003E43A5"/>
    <w:rsid w:val="00407B20"/>
    <w:rsid w:val="004101BB"/>
    <w:rsid w:val="00472785"/>
    <w:rsid w:val="004946F3"/>
    <w:rsid w:val="00495486"/>
    <w:rsid w:val="004D732B"/>
    <w:rsid w:val="00640EA5"/>
    <w:rsid w:val="006703BD"/>
    <w:rsid w:val="006C4823"/>
    <w:rsid w:val="00706E72"/>
    <w:rsid w:val="007435E9"/>
    <w:rsid w:val="00754C02"/>
    <w:rsid w:val="007679AB"/>
    <w:rsid w:val="0078674C"/>
    <w:rsid w:val="0079216A"/>
    <w:rsid w:val="007D3AE0"/>
    <w:rsid w:val="00811AED"/>
    <w:rsid w:val="00812295"/>
    <w:rsid w:val="00826564"/>
    <w:rsid w:val="00846ACD"/>
    <w:rsid w:val="00861CCB"/>
    <w:rsid w:val="008A2CAC"/>
    <w:rsid w:val="008A6FF7"/>
    <w:rsid w:val="009231CD"/>
    <w:rsid w:val="00944F8A"/>
    <w:rsid w:val="0095154D"/>
    <w:rsid w:val="00952587"/>
    <w:rsid w:val="00970CC0"/>
    <w:rsid w:val="00972921"/>
    <w:rsid w:val="009B68F1"/>
    <w:rsid w:val="00A01C13"/>
    <w:rsid w:val="00A27D2C"/>
    <w:rsid w:val="00A31AFB"/>
    <w:rsid w:val="00A83048"/>
    <w:rsid w:val="00B20290"/>
    <w:rsid w:val="00B40BD7"/>
    <w:rsid w:val="00B562AB"/>
    <w:rsid w:val="00BC6FAC"/>
    <w:rsid w:val="00BD1E31"/>
    <w:rsid w:val="00BE27AB"/>
    <w:rsid w:val="00BE376A"/>
    <w:rsid w:val="00BF05AE"/>
    <w:rsid w:val="00C357FD"/>
    <w:rsid w:val="00C53F5C"/>
    <w:rsid w:val="00C91CCF"/>
    <w:rsid w:val="00CD00A2"/>
    <w:rsid w:val="00D57178"/>
    <w:rsid w:val="00DA2D43"/>
    <w:rsid w:val="00DA7E95"/>
    <w:rsid w:val="00DE4DFB"/>
    <w:rsid w:val="00DF1B23"/>
    <w:rsid w:val="00E25308"/>
    <w:rsid w:val="00E60463"/>
    <w:rsid w:val="00F066B8"/>
    <w:rsid w:val="00F20B16"/>
    <w:rsid w:val="00F34A35"/>
    <w:rsid w:val="00F551C7"/>
    <w:rsid w:val="00F6386D"/>
    <w:rsid w:val="00F653F8"/>
    <w:rsid w:val="00F957B9"/>
    <w:rsid w:val="00F97386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717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178"/>
    <w:rPr>
      <w:rFonts w:ascii="Calibri" w:eastAsia="Times New Roman" w:hAnsi="Calibri" w:cs="Times New Roman"/>
    </w:rPr>
  </w:style>
  <w:style w:type="paragraph" w:customStyle="1" w:styleId="Default">
    <w:name w:val="Default"/>
    <w:rsid w:val="00E6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59</cp:revision>
  <dcterms:created xsi:type="dcterms:W3CDTF">2012-03-30T12:25:00Z</dcterms:created>
  <dcterms:modified xsi:type="dcterms:W3CDTF">2013-10-21T15:08:00Z</dcterms:modified>
</cp:coreProperties>
</file>