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36576254"/>
        <w:docPartObj>
          <w:docPartGallery w:val="Cover Pages"/>
          <w:docPartUnique/>
        </w:docPartObj>
      </w:sdtPr>
      <w:sdtContent>
        <w:p w14:paraId="6DC15034" w14:textId="62E9C089" w:rsidR="0087028A" w:rsidRDefault="0087028A" w:rsidP="0087028A">
          <w:r>
            <w:rPr>
              <w:noProof/>
            </w:rPr>
            <w:drawing>
              <wp:anchor distT="0" distB="0" distL="114300" distR="114300" simplePos="0" relativeHeight="251658240" behindDoc="0" locked="0" layoutInCell="1" allowOverlap="1" wp14:anchorId="24A749B9" wp14:editId="272D414D">
                <wp:simplePos x="914400" y="914400"/>
                <wp:positionH relativeFrom="page">
                  <wp:align>center</wp:align>
                </wp:positionH>
                <wp:positionV relativeFrom="page">
                  <wp:align>center</wp:align>
                </wp:positionV>
                <wp:extent cx="7559660" cy="10692000"/>
                <wp:effectExtent l="0" t="0" r="3810" b="0"/>
                <wp:wrapThrough wrapText="bothSides">
                  <wp:wrapPolygon edited="0">
                    <wp:start x="0" y="0"/>
                    <wp:lineTo x="0" y="21553"/>
                    <wp:lineTo x="21556" y="21553"/>
                    <wp:lineTo x="21556" y="0"/>
                    <wp:lineTo x="0" y="0"/>
                  </wp:wrapPolygon>
                </wp:wrapThrough>
                <wp:docPr id="117218401"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18401" name="Picture 1">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60" cy="10692000"/>
                        </a:xfrm>
                        <a:prstGeom prst="rect">
                          <a:avLst/>
                        </a:prstGeom>
                      </pic:spPr>
                    </pic:pic>
                  </a:graphicData>
                </a:graphic>
                <wp14:sizeRelH relativeFrom="margin">
                  <wp14:pctWidth>0</wp14:pctWidth>
                </wp14:sizeRelH>
                <wp14:sizeRelV relativeFrom="margin">
                  <wp14:pctHeight>0</wp14:pctHeight>
                </wp14:sizeRelV>
              </wp:anchor>
            </w:drawing>
          </w:r>
        </w:p>
      </w:sdtContent>
    </w:sdt>
    <w:tbl>
      <w:tblPr>
        <w:tblStyle w:val="TableGrid"/>
        <w:tblW w:w="0" w:type="auto"/>
        <w:tblInd w:w="108" w:type="dxa"/>
        <w:tblLook w:val="04A0" w:firstRow="1" w:lastRow="0" w:firstColumn="1" w:lastColumn="0" w:noHBand="0" w:noVBand="1"/>
      </w:tblPr>
      <w:tblGrid>
        <w:gridCol w:w="3024"/>
        <w:gridCol w:w="5884"/>
      </w:tblGrid>
      <w:tr w:rsidR="00FA71AE" w:rsidRPr="007321D2" w14:paraId="51810765" w14:textId="77777777" w:rsidTr="0087028A">
        <w:trPr>
          <w:trHeight w:val="572"/>
        </w:trPr>
        <w:tc>
          <w:tcPr>
            <w:tcW w:w="3024" w:type="dxa"/>
            <w:vMerge w:val="restart"/>
          </w:tcPr>
          <w:p w14:paraId="672A6659" w14:textId="77777777" w:rsidR="00FA71AE" w:rsidRPr="007321D2" w:rsidRDefault="00033259" w:rsidP="00D173CD">
            <w:pPr>
              <w:pStyle w:val="TableParagraph"/>
            </w:pPr>
            <w:r w:rsidRPr="007321D2">
              <w:rPr>
                <w:noProof/>
              </w:rPr>
              <w:lastRenderedPageBreak/>
              <w:drawing>
                <wp:inline distT="0" distB="0" distL="0" distR="0" wp14:anchorId="6CB557FC" wp14:editId="03FD41AE">
                  <wp:extent cx="1704975" cy="725805"/>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04975" cy="725805"/>
                          </a:xfrm>
                          <a:prstGeom prst="rect">
                            <a:avLst/>
                          </a:prstGeom>
                          <a:noFill/>
                          <a:ln>
                            <a:noFill/>
                          </a:ln>
                        </pic:spPr>
                      </pic:pic>
                    </a:graphicData>
                  </a:graphic>
                </wp:inline>
              </w:drawing>
            </w:r>
          </w:p>
        </w:tc>
        <w:tc>
          <w:tcPr>
            <w:tcW w:w="5884" w:type="dxa"/>
          </w:tcPr>
          <w:p w14:paraId="0545927E" w14:textId="66FA64B5" w:rsidR="00FA71AE" w:rsidRPr="00EF6245" w:rsidRDefault="01C41BB2" w:rsidP="01C41BB2">
            <w:pPr>
              <w:rPr>
                <w:rFonts w:ascii="Arial" w:hAnsi="Arial" w:cs="Arial"/>
                <w:iCs/>
                <w:sz w:val="22"/>
                <w:szCs w:val="22"/>
              </w:rPr>
            </w:pPr>
            <w:r w:rsidRPr="00EF6245">
              <w:rPr>
                <w:rFonts w:ascii="Arial" w:hAnsi="Arial" w:cs="Arial"/>
                <w:b/>
                <w:bCs/>
                <w:sz w:val="22"/>
                <w:szCs w:val="22"/>
              </w:rPr>
              <w:t xml:space="preserve">SOP Title: </w:t>
            </w:r>
            <w:r w:rsidRPr="005A12E2">
              <w:rPr>
                <w:rFonts w:ascii="Arial" w:hAnsi="Arial" w:cs="Arial"/>
                <w:iCs/>
                <w:szCs w:val="22"/>
              </w:rPr>
              <w:t xml:space="preserve">SAE Reconciliation </w:t>
            </w:r>
          </w:p>
        </w:tc>
      </w:tr>
      <w:tr w:rsidR="003B7482" w:rsidRPr="007321D2" w14:paraId="1A70BC8E" w14:textId="77777777" w:rsidTr="0087028A">
        <w:trPr>
          <w:trHeight w:val="577"/>
        </w:trPr>
        <w:tc>
          <w:tcPr>
            <w:tcW w:w="3024" w:type="dxa"/>
            <w:vMerge/>
          </w:tcPr>
          <w:p w14:paraId="0A37501D" w14:textId="77777777" w:rsidR="003B7482" w:rsidRPr="007321D2" w:rsidRDefault="003B7482">
            <w:pPr>
              <w:rPr>
                <w:rFonts w:ascii="Arial" w:hAnsi="Arial" w:cs="Arial"/>
                <w:sz w:val="22"/>
                <w:szCs w:val="22"/>
              </w:rPr>
            </w:pPr>
          </w:p>
        </w:tc>
        <w:tc>
          <w:tcPr>
            <w:tcW w:w="5884" w:type="dxa"/>
          </w:tcPr>
          <w:p w14:paraId="204CDA37" w14:textId="08855EB9" w:rsidR="003B7482" w:rsidRPr="00EF6245" w:rsidRDefault="01C41BB2" w:rsidP="01C41BB2">
            <w:pPr>
              <w:rPr>
                <w:rFonts w:ascii="Arial" w:hAnsi="Arial" w:cs="Arial"/>
                <w:iCs/>
                <w:sz w:val="22"/>
                <w:szCs w:val="22"/>
              </w:rPr>
            </w:pPr>
            <w:r w:rsidRPr="00EF6245">
              <w:rPr>
                <w:rFonts w:ascii="Arial" w:hAnsi="Arial" w:cs="Arial"/>
                <w:b/>
                <w:bCs/>
              </w:rPr>
              <w:t>Study title</w:t>
            </w:r>
            <w:r w:rsidRPr="00EF6245">
              <w:rPr>
                <w:rFonts w:ascii="Arial" w:hAnsi="Arial" w:cs="Arial"/>
              </w:rPr>
              <w:t>:</w:t>
            </w:r>
            <w:r w:rsidR="000B319B">
              <w:rPr>
                <w:rFonts w:ascii="Arial" w:hAnsi="Arial" w:cs="Arial"/>
              </w:rPr>
              <w:t xml:space="preserve"> </w:t>
            </w:r>
            <w:r w:rsidR="000B319B" w:rsidRPr="00F5578C">
              <w:rPr>
                <w:rFonts w:ascii="Arial" w:hAnsi="Arial" w:cs="Arial"/>
                <w:i/>
                <w:color w:val="808080" w:themeColor="background1" w:themeShade="80"/>
                <w:sz w:val="22"/>
                <w:szCs w:val="22"/>
              </w:rPr>
              <w:t>Give study title to which this SOP applies</w:t>
            </w:r>
          </w:p>
        </w:tc>
      </w:tr>
    </w:tbl>
    <w:p w14:paraId="3F1842ED" w14:textId="77777777" w:rsidR="0010483A" w:rsidRPr="00FE283D" w:rsidRDefault="0010483A">
      <w:pPr>
        <w:rPr>
          <w:rFonts w:eastAsiaTheme="minorHAnsi"/>
        </w:rPr>
      </w:pPr>
      <w:bookmarkStart w:id="0" w:name="_Toc289954298"/>
    </w:p>
    <w:bookmarkEnd w:id="0"/>
    <w:p w14:paraId="02EB378F" w14:textId="57CB7AAB" w:rsidR="00D53CF2" w:rsidRPr="00A20311" w:rsidRDefault="009A78D8" w:rsidP="00FE283D">
      <w:pPr>
        <w:pStyle w:val="Heading1"/>
        <w:numPr>
          <w:ilvl w:val="0"/>
          <w:numId w:val="21"/>
        </w:numPr>
        <w:spacing w:before="0" w:after="120"/>
        <w:ind w:left="357" w:hanging="357"/>
        <w:rPr>
          <w:rFonts w:eastAsiaTheme="minorHAnsi"/>
        </w:rPr>
      </w:pPr>
      <w:r w:rsidRPr="00A20311">
        <w:rPr>
          <w:rFonts w:ascii="Arial" w:eastAsiaTheme="minorHAnsi" w:hAnsi="Arial" w:cs="Arial"/>
          <w:bCs w:val="0"/>
          <w:sz w:val="24"/>
        </w:rPr>
        <w:t>S</w:t>
      </w:r>
      <w:r w:rsidR="00154449" w:rsidRPr="00A20311">
        <w:rPr>
          <w:rFonts w:ascii="Arial" w:eastAsiaTheme="minorHAnsi" w:hAnsi="Arial" w:cs="Arial"/>
          <w:bCs w:val="0"/>
          <w:sz w:val="24"/>
        </w:rPr>
        <w:t>cope</w:t>
      </w:r>
      <w:r w:rsidRPr="00A20311">
        <w:rPr>
          <w:rFonts w:ascii="Arial" w:eastAsiaTheme="minorHAnsi" w:hAnsi="Arial" w:cs="Arial"/>
          <w:bCs w:val="0"/>
          <w:sz w:val="24"/>
        </w:rPr>
        <w:t xml:space="preserve"> and application</w:t>
      </w:r>
    </w:p>
    <w:tbl>
      <w:tblPr>
        <w:tblStyle w:val="TableGrid"/>
        <w:tblW w:w="0" w:type="auto"/>
        <w:tblInd w:w="137" w:type="dxa"/>
        <w:tblBorders>
          <w:insideH w:val="none" w:sz="0" w:space="0" w:color="auto"/>
        </w:tblBorders>
        <w:tblLook w:val="04A0" w:firstRow="1" w:lastRow="0" w:firstColumn="1" w:lastColumn="0" w:noHBand="0" w:noVBand="1"/>
      </w:tblPr>
      <w:tblGrid>
        <w:gridCol w:w="8879"/>
      </w:tblGrid>
      <w:tr w:rsidR="00232C59" w:rsidRPr="007321D2" w14:paraId="3125ABC1" w14:textId="77777777" w:rsidTr="00FE283D">
        <w:tc>
          <w:tcPr>
            <w:tcW w:w="8879" w:type="dxa"/>
          </w:tcPr>
          <w:p w14:paraId="2CBD993B" w14:textId="5E63521A" w:rsidR="00EA31C8" w:rsidRPr="00B30091" w:rsidRDefault="08C901BC" w:rsidP="08C901BC">
            <w:pPr>
              <w:rPr>
                <w:rFonts w:ascii="Arial" w:hAnsi="Arial" w:cs="Arial"/>
                <w:sz w:val="22"/>
                <w:szCs w:val="22"/>
              </w:rPr>
            </w:pPr>
            <w:r w:rsidRPr="08C901BC">
              <w:rPr>
                <w:rFonts w:ascii="Arial" w:hAnsi="Arial" w:cs="Arial"/>
                <w:sz w:val="22"/>
                <w:szCs w:val="22"/>
              </w:rPr>
              <w:t>In clinical research, s</w:t>
            </w:r>
            <w:r w:rsidR="00026E45" w:rsidRPr="08C901BC">
              <w:rPr>
                <w:rFonts w:ascii="Arial" w:hAnsi="Arial" w:cs="Arial"/>
                <w:sz w:val="22"/>
                <w:szCs w:val="22"/>
              </w:rPr>
              <w:t>erious adverse events (</w:t>
            </w:r>
            <w:r w:rsidR="00BE6F08" w:rsidRPr="08C901BC">
              <w:rPr>
                <w:rFonts w:ascii="Arial" w:hAnsi="Arial" w:cs="Arial"/>
                <w:sz w:val="22"/>
                <w:szCs w:val="22"/>
              </w:rPr>
              <w:t>SAE</w:t>
            </w:r>
            <w:r w:rsidR="00026E45" w:rsidRPr="08C901BC">
              <w:rPr>
                <w:rFonts w:ascii="Arial" w:hAnsi="Arial" w:cs="Arial"/>
                <w:sz w:val="22"/>
                <w:szCs w:val="22"/>
              </w:rPr>
              <w:t>)</w:t>
            </w:r>
            <w:r w:rsidR="00BE6F08" w:rsidRPr="08C901BC">
              <w:rPr>
                <w:rFonts w:ascii="Arial" w:hAnsi="Arial" w:cs="Arial"/>
                <w:sz w:val="22"/>
                <w:szCs w:val="22"/>
              </w:rPr>
              <w:t xml:space="preserve"> reconciliation is </w:t>
            </w:r>
            <w:r w:rsidR="000E2355" w:rsidRPr="08C901BC">
              <w:rPr>
                <w:rFonts w:ascii="Arial" w:hAnsi="Arial" w:cs="Arial"/>
                <w:sz w:val="22"/>
                <w:szCs w:val="22"/>
              </w:rPr>
              <w:t xml:space="preserve">part of data review and </w:t>
            </w:r>
            <w:r w:rsidR="00BE6F08" w:rsidRPr="08C901BC">
              <w:rPr>
                <w:rFonts w:ascii="Arial" w:hAnsi="Arial" w:cs="Arial"/>
                <w:sz w:val="22"/>
                <w:szCs w:val="22"/>
              </w:rPr>
              <w:t xml:space="preserve">an important aspect of </w:t>
            </w:r>
            <w:r w:rsidR="009E277B" w:rsidRPr="08C901BC">
              <w:rPr>
                <w:rFonts w:ascii="Arial" w:hAnsi="Arial" w:cs="Arial"/>
                <w:sz w:val="22"/>
                <w:szCs w:val="22"/>
              </w:rPr>
              <w:t xml:space="preserve">pharmacovigilance and </w:t>
            </w:r>
            <w:r w:rsidR="00BE6F08" w:rsidRPr="08C901BC">
              <w:rPr>
                <w:rFonts w:ascii="Arial" w:hAnsi="Arial" w:cs="Arial"/>
                <w:sz w:val="22"/>
                <w:szCs w:val="22"/>
              </w:rPr>
              <w:t>collecting safety data</w:t>
            </w:r>
            <w:r w:rsidR="002E011F" w:rsidRPr="08C901BC">
              <w:rPr>
                <w:rFonts w:ascii="Arial" w:hAnsi="Arial" w:cs="Arial"/>
                <w:sz w:val="22"/>
                <w:szCs w:val="22"/>
              </w:rPr>
              <w:t>.</w:t>
            </w:r>
            <w:r w:rsidR="00013F2F" w:rsidRPr="08C901BC">
              <w:rPr>
                <w:rFonts w:ascii="Arial" w:hAnsi="Arial" w:cs="Arial"/>
                <w:sz w:val="22"/>
                <w:szCs w:val="22"/>
              </w:rPr>
              <w:t xml:space="preserve"> It is the process of comparing the different </w:t>
            </w:r>
            <w:r w:rsidR="00026E45" w:rsidRPr="08C901BC">
              <w:rPr>
                <w:rFonts w:ascii="Arial" w:hAnsi="Arial" w:cs="Arial"/>
                <w:sz w:val="22"/>
                <w:szCs w:val="22"/>
              </w:rPr>
              <w:t xml:space="preserve">data flows </w:t>
            </w:r>
            <w:r w:rsidR="00E37CAE" w:rsidRPr="08C901BC">
              <w:rPr>
                <w:rFonts w:ascii="Arial" w:hAnsi="Arial" w:cs="Arial"/>
                <w:sz w:val="22"/>
                <w:szCs w:val="22"/>
              </w:rPr>
              <w:t xml:space="preserve">of </w:t>
            </w:r>
            <w:r w:rsidR="00026E45" w:rsidRPr="08C901BC">
              <w:rPr>
                <w:rFonts w:ascii="Arial" w:hAnsi="Arial" w:cs="Arial"/>
                <w:sz w:val="22"/>
                <w:szCs w:val="22"/>
              </w:rPr>
              <w:t xml:space="preserve">SAE </w:t>
            </w:r>
            <w:r w:rsidR="008B70AB" w:rsidRPr="08C901BC">
              <w:rPr>
                <w:rFonts w:ascii="Arial" w:hAnsi="Arial" w:cs="Arial"/>
                <w:sz w:val="22"/>
                <w:szCs w:val="22"/>
              </w:rPr>
              <w:t>data</w:t>
            </w:r>
            <w:r w:rsidR="00C31DDB" w:rsidRPr="08C901BC">
              <w:rPr>
                <w:rFonts w:ascii="Arial" w:hAnsi="Arial" w:cs="Arial"/>
                <w:sz w:val="22"/>
                <w:szCs w:val="22"/>
              </w:rPr>
              <w:t>.</w:t>
            </w:r>
          </w:p>
          <w:p w14:paraId="74AA5001" w14:textId="77777777" w:rsidR="001667D7" w:rsidRPr="00B30091" w:rsidRDefault="001667D7" w:rsidP="01C41BB2">
            <w:pPr>
              <w:rPr>
                <w:rFonts w:ascii="Arial" w:hAnsi="Arial" w:cs="Arial"/>
                <w:iCs/>
                <w:sz w:val="22"/>
                <w:szCs w:val="22"/>
              </w:rPr>
            </w:pPr>
          </w:p>
          <w:p w14:paraId="71F3EDB1" w14:textId="14A65C8D" w:rsidR="00112BCD" w:rsidRPr="00B30091" w:rsidRDefault="00421B58" w:rsidP="01C41BB2">
            <w:pPr>
              <w:rPr>
                <w:rFonts w:ascii="Arial" w:hAnsi="Arial" w:cs="Arial"/>
                <w:iCs/>
                <w:sz w:val="22"/>
                <w:szCs w:val="22"/>
              </w:rPr>
            </w:pPr>
            <w:r w:rsidRPr="00B30091">
              <w:rPr>
                <w:rFonts w:ascii="Arial" w:hAnsi="Arial" w:cs="Arial"/>
                <w:iCs/>
                <w:sz w:val="22"/>
                <w:szCs w:val="22"/>
              </w:rPr>
              <w:t>GCP requires that</w:t>
            </w:r>
            <w:r w:rsidR="00186BFF" w:rsidRPr="00B30091">
              <w:rPr>
                <w:rFonts w:ascii="Arial" w:hAnsi="Arial" w:cs="Arial"/>
                <w:iCs/>
                <w:sz w:val="22"/>
                <w:szCs w:val="22"/>
              </w:rPr>
              <w:t xml:space="preserve"> SAEs are reported to the sponsor immediately</w:t>
            </w:r>
            <w:r w:rsidR="009D14B3" w:rsidRPr="00B30091">
              <w:rPr>
                <w:rFonts w:ascii="Arial" w:hAnsi="Arial" w:cs="Arial"/>
                <w:iCs/>
                <w:sz w:val="22"/>
                <w:szCs w:val="22"/>
              </w:rPr>
              <w:t xml:space="preserve">. However, routinely entered study data </w:t>
            </w:r>
            <w:r w:rsidR="005D2200" w:rsidRPr="00B30091">
              <w:rPr>
                <w:rFonts w:ascii="Arial" w:hAnsi="Arial" w:cs="Arial"/>
                <w:iCs/>
                <w:sz w:val="22"/>
                <w:szCs w:val="22"/>
              </w:rPr>
              <w:t>has other timelines</w:t>
            </w:r>
            <w:r w:rsidR="00C840EB" w:rsidRPr="00B30091">
              <w:rPr>
                <w:rFonts w:ascii="Arial" w:hAnsi="Arial" w:cs="Arial"/>
                <w:iCs/>
                <w:sz w:val="22"/>
                <w:szCs w:val="22"/>
              </w:rPr>
              <w:t>.</w:t>
            </w:r>
            <w:r w:rsidRPr="00B30091">
              <w:rPr>
                <w:rFonts w:ascii="Arial" w:hAnsi="Arial" w:cs="Arial"/>
                <w:iCs/>
                <w:sz w:val="22"/>
                <w:szCs w:val="22"/>
              </w:rPr>
              <w:t xml:space="preserve"> </w:t>
            </w:r>
            <w:r w:rsidR="00AE2F90" w:rsidRPr="00B30091">
              <w:rPr>
                <w:rFonts w:ascii="Arial" w:hAnsi="Arial" w:cs="Arial"/>
                <w:iCs/>
                <w:sz w:val="22"/>
                <w:szCs w:val="22"/>
              </w:rPr>
              <w:t>SAEs are also part of the study data</w:t>
            </w:r>
            <w:r w:rsidR="00F63218" w:rsidRPr="00B30091">
              <w:rPr>
                <w:rFonts w:ascii="Arial" w:hAnsi="Arial" w:cs="Arial"/>
                <w:iCs/>
                <w:sz w:val="22"/>
                <w:szCs w:val="22"/>
              </w:rPr>
              <w:t>, which means they are also entered in the study database.</w:t>
            </w:r>
            <w:r w:rsidR="00493817" w:rsidRPr="00B30091">
              <w:rPr>
                <w:rFonts w:ascii="Arial" w:hAnsi="Arial" w:cs="Arial"/>
                <w:iCs/>
                <w:sz w:val="22"/>
                <w:szCs w:val="22"/>
              </w:rPr>
              <w:t xml:space="preserve"> This means</w:t>
            </w:r>
            <w:r w:rsidR="00AE2F90" w:rsidRPr="00B30091">
              <w:rPr>
                <w:rFonts w:ascii="Arial" w:hAnsi="Arial" w:cs="Arial"/>
                <w:iCs/>
                <w:sz w:val="22"/>
                <w:szCs w:val="22"/>
              </w:rPr>
              <w:t xml:space="preserve"> </w:t>
            </w:r>
            <w:r w:rsidR="00493817" w:rsidRPr="00B30091">
              <w:rPr>
                <w:rFonts w:ascii="Arial" w:hAnsi="Arial" w:cs="Arial"/>
                <w:iCs/>
                <w:sz w:val="22"/>
                <w:szCs w:val="22"/>
              </w:rPr>
              <w:t>there are two versions of the same safety data.</w:t>
            </w:r>
            <w:r w:rsidR="00052EDF" w:rsidRPr="00B30091">
              <w:rPr>
                <w:rFonts w:ascii="Arial" w:hAnsi="Arial" w:cs="Arial"/>
                <w:iCs/>
                <w:sz w:val="22"/>
                <w:szCs w:val="22"/>
              </w:rPr>
              <w:t xml:space="preserve"> </w:t>
            </w:r>
            <w:r w:rsidR="00BA4632" w:rsidRPr="00B30091">
              <w:rPr>
                <w:rFonts w:ascii="Arial" w:hAnsi="Arial" w:cs="Arial"/>
                <w:iCs/>
                <w:sz w:val="22"/>
                <w:szCs w:val="22"/>
              </w:rPr>
              <w:t>B</w:t>
            </w:r>
            <w:r w:rsidR="00A60F1F" w:rsidRPr="00B30091">
              <w:rPr>
                <w:rFonts w:ascii="Arial" w:hAnsi="Arial" w:cs="Arial"/>
                <w:iCs/>
                <w:sz w:val="22"/>
                <w:szCs w:val="22"/>
              </w:rPr>
              <w:t xml:space="preserve">oth versions </w:t>
            </w:r>
            <w:r w:rsidR="00BA4632" w:rsidRPr="00B30091">
              <w:rPr>
                <w:rFonts w:ascii="Arial" w:hAnsi="Arial" w:cs="Arial"/>
                <w:iCs/>
                <w:sz w:val="22"/>
                <w:szCs w:val="22"/>
              </w:rPr>
              <w:t xml:space="preserve">of the safety data </w:t>
            </w:r>
            <w:r w:rsidR="00A60F1F" w:rsidRPr="00B30091">
              <w:rPr>
                <w:rFonts w:ascii="Arial" w:hAnsi="Arial" w:cs="Arial"/>
                <w:iCs/>
                <w:sz w:val="22"/>
                <w:szCs w:val="22"/>
              </w:rPr>
              <w:t>need to be compared and reconciled.</w:t>
            </w:r>
            <w:r w:rsidR="008B70AB" w:rsidRPr="00B30091">
              <w:rPr>
                <w:rFonts w:ascii="Arial" w:hAnsi="Arial" w:cs="Arial"/>
                <w:iCs/>
                <w:sz w:val="22"/>
                <w:szCs w:val="22"/>
              </w:rPr>
              <w:t xml:space="preserve"> </w:t>
            </w:r>
          </w:p>
          <w:p w14:paraId="2C2F5D44" w14:textId="77777777" w:rsidR="001667D7" w:rsidRPr="00B30091" w:rsidRDefault="001667D7" w:rsidP="01C41BB2">
            <w:pPr>
              <w:rPr>
                <w:rFonts w:ascii="Arial" w:hAnsi="Arial" w:cs="Arial"/>
                <w:iCs/>
                <w:sz w:val="22"/>
                <w:szCs w:val="22"/>
              </w:rPr>
            </w:pPr>
          </w:p>
          <w:p w14:paraId="2CB7B176" w14:textId="5546BA7F" w:rsidR="00F235AF" w:rsidRPr="00EF6245" w:rsidRDefault="00F235AF" w:rsidP="01C41BB2">
            <w:pPr>
              <w:rPr>
                <w:rFonts w:ascii="Arial" w:hAnsi="Arial" w:cs="Arial"/>
                <w:iCs/>
                <w:sz w:val="22"/>
                <w:szCs w:val="22"/>
              </w:rPr>
            </w:pPr>
            <w:r>
              <w:rPr>
                <w:rFonts w:ascii="Arial" w:hAnsi="Arial" w:cs="Arial"/>
                <w:iCs/>
                <w:sz w:val="22"/>
                <w:szCs w:val="22"/>
              </w:rPr>
              <w:t xml:space="preserve">This SOP will only apply to studies where </w:t>
            </w:r>
            <w:r w:rsidR="00417EE7">
              <w:rPr>
                <w:rFonts w:ascii="Arial" w:hAnsi="Arial" w:cs="Arial"/>
                <w:iCs/>
                <w:sz w:val="22"/>
                <w:szCs w:val="22"/>
              </w:rPr>
              <w:t>SAEs</w:t>
            </w:r>
            <w:r>
              <w:rPr>
                <w:rFonts w:ascii="Arial" w:hAnsi="Arial" w:cs="Arial"/>
                <w:iCs/>
                <w:sz w:val="22"/>
                <w:szCs w:val="22"/>
              </w:rPr>
              <w:t xml:space="preserve"> are </w:t>
            </w:r>
            <w:r w:rsidR="00417EE7">
              <w:rPr>
                <w:rFonts w:ascii="Arial" w:hAnsi="Arial" w:cs="Arial"/>
                <w:iCs/>
                <w:sz w:val="22"/>
                <w:szCs w:val="22"/>
              </w:rPr>
              <w:t xml:space="preserve">reported. This procedure does not describe the procedures for reporting (serious) </w:t>
            </w:r>
            <w:r w:rsidR="00BF4C36">
              <w:rPr>
                <w:rFonts w:ascii="Arial" w:hAnsi="Arial" w:cs="Arial"/>
                <w:iCs/>
                <w:sz w:val="22"/>
                <w:szCs w:val="22"/>
              </w:rPr>
              <w:t xml:space="preserve">adverse events, only the process of reconciling the SAE </w:t>
            </w:r>
            <w:r w:rsidR="00013F2F">
              <w:rPr>
                <w:rFonts w:ascii="Arial" w:hAnsi="Arial" w:cs="Arial"/>
                <w:iCs/>
                <w:sz w:val="22"/>
                <w:szCs w:val="22"/>
              </w:rPr>
              <w:t>collected data from all applicable sources.</w:t>
            </w:r>
          </w:p>
          <w:p w14:paraId="2420817E" w14:textId="7814D876" w:rsidR="008344B1" w:rsidRPr="00B30091" w:rsidRDefault="008344B1" w:rsidP="01C41BB2">
            <w:pPr>
              <w:rPr>
                <w:rFonts w:ascii="Arial" w:hAnsi="Arial" w:cs="Arial"/>
                <w:iCs/>
                <w:sz w:val="22"/>
                <w:szCs w:val="22"/>
              </w:rPr>
            </w:pPr>
          </w:p>
          <w:p w14:paraId="54831FC5" w14:textId="40AD9B0C" w:rsidR="00232C59" w:rsidRPr="00666B59" w:rsidRDefault="2E9B12F9" w:rsidP="008344B1">
            <w:pPr>
              <w:rPr>
                <w:rFonts w:ascii="Arial" w:hAnsi="Arial" w:cs="Arial"/>
                <w:sz w:val="22"/>
                <w:szCs w:val="22"/>
              </w:rPr>
            </w:pPr>
            <w:r w:rsidRPr="2E9B12F9">
              <w:rPr>
                <w:rFonts w:ascii="Arial" w:hAnsi="Arial" w:cs="Arial"/>
                <w:sz w:val="22"/>
                <w:szCs w:val="22"/>
              </w:rPr>
              <w:t>Pharmacovigilance can be organized in different ways. This SOP describes the SAE reconciliation procedure for the situation where received reports are stored in a secure electronic filing system with the addition of a line listing system for tracking.</w:t>
            </w:r>
          </w:p>
        </w:tc>
      </w:tr>
    </w:tbl>
    <w:p w14:paraId="6A05A809" w14:textId="77777777" w:rsidR="004404D0" w:rsidRPr="007321D2" w:rsidRDefault="004404D0" w:rsidP="00A87B23">
      <w:pPr>
        <w:rPr>
          <w:rFonts w:ascii="Arial" w:eastAsiaTheme="minorHAnsi" w:hAnsi="Arial" w:cs="Arial"/>
        </w:rPr>
      </w:pPr>
      <w:bookmarkStart w:id="1" w:name="_Toc289954299"/>
    </w:p>
    <w:p w14:paraId="5A39BBE3" w14:textId="4A1CA3CE" w:rsidR="00984271" w:rsidRPr="007321D2" w:rsidRDefault="007D1536" w:rsidP="00FE283D">
      <w:pPr>
        <w:pStyle w:val="Heading1"/>
        <w:numPr>
          <w:ilvl w:val="0"/>
          <w:numId w:val="21"/>
        </w:numPr>
        <w:spacing w:before="0" w:after="120"/>
        <w:ind w:left="360"/>
        <w:rPr>
          <w:rFonts w:eastAsiaTheme="minorHAnsi"/>
        </w:rPr>
      </w:pPr>
      <w:r w:rsidRPr="00A20311">
        <w:rPr>
          <w:rFonts w:ascii="Arial" w:eastAsiaTheme="minorHAnsi" w:hAnsi="Arial" w:cs="Arial"/>
          <w:bCs w:val="0"/>
          <w:sz w:val="24"/>
        </w:rPr>
        <w:t>Responsibilities</w:t>
      </w:r>
      <w:bookmarkEnd w:id="1"/>
    </w:p>
    <w:tbl>
      <w:tblPr>
        <w:tblStyle w:val="TableGrid"/>
        <w:tblW w:w="0" w:type="auto"/>
        <w:tblInd w:w="137" w:type="dxa"/>
        <w:tblLook w:val="04A0" w:firstRow="1" w:lastRow="0" w:firstColumn="1" w:lastColumn="0" w:noHBand="0" w:noVBand="1"/>
      </w:tblPr>
      <w:tblGrid>
        <w:gridCol w:w="2921"/>
        <w:gridCol w:w="5958"/>
      </w:tblGrid>
      <w:tr w:rsidR="00674D56" w:rsidRPr="007321D2" w14:paraId="6C0A1CB3" w14:textId="77777777" w:rsidTr="00FE283D">
        <w:tc>
          <w:tcPr>
            <w:tcW w:w="2921" w:type="dxa"/>
            <w:shd w:val="clear" w:color="auto" w:fill="F2F2F2" w:themeFill="background1" w:themeFillShade="F2"/>
          </w:tcPr>
          <w:p w14:paraId="66ED67BC" w14:textId="77777777" w:rsidR="00984271" w:rsidRPr="007321D2" w:rsidRDefault="00984271" w:rsidP="004404D0">
            <w:pPr>
              <w:rPr>
                <w:rFonts w:ascii="Arial" w:hAnsi="Arial" w:cs="Arial"/>
                <w:b/>
                <w:sz w:val="22"/>
                <w:szCs w:val="22"/>
              </w:rPr>
            </w:pPr>
            <w:r w:rsidRPr="007321D2">
              <w:rPr>
                <w:rFonts w:ascii="Arial" w:hAnsi="Arial" w:cs="Arial"/>
                <w:b/>
                <w:sz w:val="22"/>
                <w:szCs w:val="22"/>
              </w:rPr>
              <w:t>Function</w:t>
            </w:r>
          </w:p>
        </w:tc>
        <w:tc>
          <w:tcPr>
            <w:tcW w:w="5958" w:type="dxa"/>
            <w:shd w:val="clear" w:color="auto" w:fill="F2F2F2" w:themeFill="background1" w:themeFillShade="F2"/>
          </w:tcPr>
          <w:p w14:paraId="1BFD96D1" w14:textId="77777777" w:rsidR="00984271" w:rsidRPr="007321D2" w:rsidRDefault="00984271" w:rsidP="004404D0">
            <w:pPr>
              <w:rPr>
                <w:rFonts w:ascii="Arial" w:hAnsi="Arial" w:cs="Arial"/>
                <w:b/>
                <w:sz w:val="22"/>
                <w:szCs w:val="22"/>
              </w:rPr>
            </w:pPr>
            <w:r w:rsidRPr="007321D2">
              <w:rPr>
                <w:rFonts w:ascii="Arial" w:hAnsi="Arial" w:cs="Arial"/>
                <w:b/>
                <w:sz w:val="22"/>
                <w:szCs w:val="22"/>
              </w:rPr>
              <w:t>Activities</w:t>
            </w:r>
          </w:p>
        </w:tc>
      </w:tr>
      <w:tr w:rsidR="004579BE" w:rsidRPr="007321D2" w14:paraId="4CA19F29" w14:textId="77777777" w:rsidTr="00FE283D">
        <w:tc>
          <w:tcPr>
            <w:tcW w:w="2921" w:type="dxa"/>
          </w:tcPr>
          <w:p w14:paraId="4D944406" w14:textId="303C1D34" w:rsidR="004579BE" w:rsidRPr="00C163CA" w:rsidRDefault="1C5C35EE" w:rsidP="1C5C35EE">
            <w:pPr>
              <w:tabs>
                <w:tab w:val="left" w:pos="1985"/>
              </w:tabs>
              <w:rPr>
                <w:rFonts w:ascii="Arial" w:hAnsi="Arial" w:cs="Arial"/>
                <w:sz w:val="22"/>
                <w:szCs w:val="22"/>
              </w:rPr>
            </w:pPr>
            <w:r w:rsidRPr="1C5C35EE">
              <w:rPr>
                <w:rFonts w:ascii="Arial" w:hAnsi="Arial" w:cs="Arial"/>
                <w:sz w:val="22"/>
                <w:szCs w:val="22"/>
              </w:rPr>
              <w:t>Data Manager and/or Data Reviewer</w:t>
            </w:r>
          </w:p>
        </w:tc>
        <w:tc>
          <w:tcPr>
            <w:tcW w:w="5958" w:type="dxa"/>
          </w:tcPr>
          <w:p w14:paraId="1B80AF94" w14:textId="0880CDDB" w:rsidR="003E29E3" w:rsidRPr="005C2A4B" w:rsidRDefault="003E29E3" w:rsidP="005C2A4B">
            <w:pPr>
              <w:pStyle w:val="ListParagraph"/>
              <w:numPr>
                <w:ilvl w:val="0"/>
                <w:numId w:val="13"/>
              </w:numPr>
              <w:rPr>
                <w:rFonts w:ascii="Arial" w:hAnsi="Arial" w:cs="Arial"/>
                <w:sz w:val="22"/>
                <w:szCs w:val="22"/>
              </w:rPr>
            </w:pPr>
            <w:r w:rsidRPr="005C2A4B">
              <w:rPr>
                <w:rFonts w:ascii="Arial" w:hAnsi="Arial" w:cs="Arial"/>
                <w:sz w:val="22"/>
                <w:szCs w:val="22"/>
              </w:rPr>
              <w:t xml:space="preserve">Liaise with the study clinician to </w:t>
            </w:r>
            <w:r w:rsidR="00B96D61" w:rsidRPr="005C2A4B">
              <w:rPr>
                <w:rFonts w:ascii="Arial" w:hAnsi="Arial" w:cs="Arial"/>
                <w:sz w:val="22"/>
                <w:szCs w:val="22"/>
              </w:rPr>
              <w:t>finalize</w:t>
            </w:r>
            <w:r w:rsidRPr="005C2A4B">
              <w:rPr>
                <w:rFonts w:ascii="Arial" w:hAnsi="Arial" w:cs="Arial"/>
                <w:sz w:val="22"/>
                <w:szCs w:val="22"/>
              </w:rPr>
              <w:t xml:space="preserve"> the SAE Reconciliation </w:t>
            </w:r>
            <w:proofErr w:type="gramStart"/>
            <w:r w:rsidRPr="005C2A4B">
              <w:rPr>
                <w:rFonts w:ascii="Arial" w:hAnsi="Arial" w:cs="Arial"/>
                <w:sz w:val="22"/>
                <w:szCs w:val="22"/>
              </w:rPr>
              <w:t>form</w:t>
            </w:r>
            <w:proofErr w:type="gramEnd"/>
          </w:p>
          <w:p w14:paraId="32DC8C38" w14:textId="01D274D9" w:rsidR="003E29E3" w:rsidRPr="00B30091" w:rsidRDefault="003E29E3" w:rsidP="005C2A4B">
            <w:pPr>
              <w:pStyle w:val="ListParagraph"/>
              <w:numPr>
                <w:ilvl w:val="0"/>
                <w:numId w:val="13"/>
              </w:numPr>
              <w:rPr>
                <w:rFonts w:ascii="Arial" w:hAnsi="Arial" w:cs="Arial"/>
                <w:sz w:val="22"/>
                <w:szCs w:val="22"/>
              </w:rPr>
            </w:pPr>
            <w:r w:rsidRPr="005C2A4B">
              <w:rPr>
                <w:rFonts w:ascii="Arial" w:hAnsi="Arial" w:cs="Arial"/>
                <w:sz w:val="22"/>
                <w:szCs w:val="22"/>
              </w:rPr>
              <w:t xml:space="preserve">To </w:t>
            </w:r>
            <w:r w:rsidR="00B96D61" w:rsidRPr="005C2A4B">
              <w:rPr>
                <w:rFonts w:ascii="Arial" w:hAnsi="Arial" w:cs="Arial"/>
                <w:sz w:val="22"/>
                <w:szCs w:val="22"/>
              </w:rPr>
              <w:t>finalize</w:t>
            </w:r>
            <w:r w:rsidRPr="005C2A4B">
              <w:rPr>
                <w:rFonts w:ascii="Arial" w:hAnsi="Arial" w:cs="Arial"/>
                <w:sz w:val="22"/>
                <w:szCs w:val="22"/>
              </w:rPr>
              <w:t xml:space="preserve"> the context of how variables contained </w:t>
            </w:r>
            <w:r w:rsidRPr="00B30091">
              <w:rPr>
                <w:rFonts w:ascii="Arial" w:hAnsi="Arial" w:cs="Arial"/>
                <w:sz w:val="22"/>
                <w:szCs w:val="22"/>
              </w:rPr>
              <w:t>in the SAE CRF should be compared, for example as exact matches or as consistent matches.</w:t>
            </w:r>
          </w:p>
          <w:p w14:paraId="51FC16CF" w14:textId="77777777" w:rsidR="003E29E3" w:rsidRPr="00B30091" w:rsidRDefault="003E29E3" w:rsidP="005C2A4B">
            <w:pPr>
              <w:pStyle w:val="ListParagraph"/>
              <w:numPr>
                <w:ilvl w:val="0"/>
                <w:numId w:val="13"/>
              </w:numPr>
              <w:rPr>
                <w:rFonts w:ascii="Arial" w:hAnsi="Arial" w:cs="Arial"/>
                <w:sz w:val="22"/>
                <w:szCs w:val="22"/>
              </w:rPr>
            </w:pPr>
            <w:r w:rsidRPr="00B30091">
              <w:rPr>
                <w:rFonts w:ascii="Arial" w:hAnsi="Arial" w:cs="Arial"/>
                <w:sz w:val="22"/>
                <w:szCs w:val="22"/>
              </w:rPr>
              <w:t>Provide the detail to the SAE Reconciliation form (see attachment 1)</w:t>
            </w:r>
          </w:p>
          <w:p w14:paraId="66466139" w14:textId="2F085362" w:rsidR="004579BE" w:rsidRPr="00942086" w:rsidRDefault="00D173CD" w:rsidP="50265D1C">
            <w:pPr>
              <w:pStyle w:val="ListParagraph"/>
              <w:numPr>
                <w:ilvl w:val="0"/>
                <w:numId w:val="13"/>
              </w:numPr>
              <w:rPr>
                <w:rFonts w:ascii="Arial" w:hAnsi="Arial" w:cs="Arial"/>
                <w:sz w:val="22"/>
                <w:szCs w:val="22"/>
              </w:rPr>
            </w:pPr>
            <w:r w:rsidRPr="00B30091">
              <w:rPr>
                <w:rFonts w:ascii="Arial" w:hAnsi="Arial" w:cs="Arial"/>
                <w:sz w:val="22"/>
                <w:szCs w:val="22"/>
              </w:rPr>
              <w:t>W</w:t>
            </w:r>
            <w:r w:rsidR="50265D1C" w:rsidRPr="00B30091">
              <w:rPr>
                <w:rFonts w:ascii="Arial" w:hAnsi="Arial" w:cs="Arial"/>
                <w:sz w:val="22"/>
                <w:szCs w:val="22"/>
              </w:rPr>
              <w:t>ork with the &lt;study</w:t>
            </w:r>
            <w:r w:rsidR="50265D1C" w:rsidRPr="50265D1C">
              <w:rPr>
                <w:rFonts w:ascii="Arial" w:hAnsi="Arial" w:cs="Arial"/>
                <w:sz w:val="22"/>
                <w:szCs w:val="22"/>
              </w:rPr>
              <w:t xml:space="preserve"> clinician&gt; to reconcile SAEs captured in the </w:t>
            </w:r>
            <w:r w:rsidR="00135C2D">
              <w:rPr>
                <w:rFonts w:ascii="Arial" w:hAnsi="Arial" w:cs="Arial"/>
                <w:sz w:val="22"/>
                <w:szCs w:val="22"/>
              </w:rPr>
              <w:t>s</w:t>
            </w:r>
            <w:r w:rsidR="50265D1C" w:rsidRPr="50265D1C">
              <w:rPr>
                <w:rFonts w:ascii="Arial" w:hAnsi="Arial" w:cs="Arial"/>
                <w:sz w:val="22"/>
                <w:szCs w:val="22"/>
              </w:rPr>
              <w:t>tudy database with SAEs reported outside the study database</w:t>
            </w:r>
          </w:p>
        </w:tc>
      </w:tr>
      <w:tr w:rsidR="004579BE" w:rsidRPr="007321D2" w14:paraId="58E0556B" w14:textId="77777777" w:rsidTr="00FE283D">
        <w:tc>
          <w:tcPr>
            <w:tcW w:w="2921" w:type="dxa"/>
          </w:tcPr>
          <w:p w14:paraId="2EBAE1A8" w14:textId="65F9E5D2" w:rsidR="004579BE" w:rsidRPr="00C163CA" w:rsidRDefault="000E6A96" w:rsidP="004404D0">
            <w:pPr>
              <w:rPr>
                <w:rFonts w:ascii="Arial" w:hAnsi="Arial" w:cs="Arial"/>
                <w:sz w:val="22"/>
                <w:szCs w:val="22"/>
              </w:rPr>
            </w:pPr>
            <w:r>
              <w:rPr>
                <w:rFonts w:ascii="Arial" w:hAnsi="Arial" w:cs="Arial"/>
                <w:sz w:val="22"/>
                <w:szCs w:val="22"/>
              </w:rPr>
              <w:t>Investigator</w:t>
            </w:r>
            <w:r w:rsidR="00F15AA3">
              <w:rPr>
                <w:rFonts w:ascii="Arial" w:hAnsi="Arial" w:cs="Arial"/>
                <w:sz w:val="22"/>
                <w:szCs w:val="22"/>
              </w:rPr>
              <w:t xml:space="preserve"> or Study clinician</w:t>
            </w:r>
          </w:p>
        </w:tc>
        <w:tc>
          <w:tcPr>
            <w:tcW w:w="5958" w:type="dxa"/>
          </w:tcPr>
          <w:p w14:paraId="0AE2B80C" w14:textId="1523E602" w:rsidR="004579BE" w:rsidRDefault="008767C2" w:rsidP="008767C2">
            <w:pPr>
              <w:pStyle w:val="ListParagraph"/>
              <w:numPr>
                <w:ilvl w:val="0"/>
                <w:numId w:val="13"/>
              </w:numPr>
              <w:rPr>
                <w:rFonts w:ascii="Arial" w:hAnsi="Arial" w:cs="Arial"/>
                <w:sz w:val="22"/>
                <w:szCs w:val="22"/>
              </w:rPr>
            </w:pPr>
            <w:r>
              <w:rPr>
                <w:rFonts w:ascii="Arial" w:hAnsi="Arial" w:cs="Arial"/>
                <w:sz w:val="22"/>
                <w:szCs w:val="22"/>
              </w:rPr>
              <w:t xml:space="preserve">Respond to </w:t>
            </w:r>
            <w:r w:rsidR="00565FE1">
              <w:rPr>
                <w:rFonts w:ascii="Arial" w:hAnsi="Arial" w:cs="Arial"/>
                <w:sz w:val="22"/>
                <w:szCs w:val="22"/>
              </w:rPr>
              <w:t xml:space="preserve">queries and </w:t>
            </w:r>
            <w:r>
              <w:rPr>
                <w:rFonts w:ascii="Arial" w:hAnsi="Arial" w:cs="Arial"/>
                <w:sz w:val="22"/>
                <w:szCs w:val="22"/>
              </w:rPr>
              <w:t xml:space="preserve">discrepancies raised during the reconciliation </w:t>
            </w:r>
            <w:proofErr w:type="gramStart"/>
            <w:r>
              <w:rPr>
                <w:rFonts w:ascii="Arial" w:hAnsi="Arial" w:cs="Arial"/>
                <w:sz w:val="22"/>
                <w:szCs w:val="22"/>
              </w:rPr>
              <w:t>process</w:t>
            </w:r>
            <w:proofErr w:type="gramEnd"/>
          </w:p>
          <w:p w14:paraId="3EB406F0" w14:textId="77C267BC" w:rsidR="00A07D14" w:rsidRPr="008767C2" w:rsidRDefault="2E9B12F9" w:rsidP="2E9B12F9">
            <w:pPr>
              <w:pStyle w:val="ListParagraph"/>
              <w:numPr>
                <w:ilvl w:val="0"/>
                <w:numId w:val="13"/>
              </w:numPr>
              <w:rPr>
                <w:rFonts w:ascii="Arial" w:hAnsi="Arial" w:cs="Arial"/>
                <w:sz w:val="22"/>
                <w:szCs w:val="22"/>
              </w:rPr>
            </w:pPr>
            <w:r w:rsidRPr="2E9B12F9">
              <w:rPr>
                <w:rFonts w:ascii="Arial" w:hAnsi="Arial" w:cs="Arial"/>
                <w:sz w:val="22"/>
                <w:szCs w:val="22"/>
              </w:rPr>
              <w:t>Provide necessary interpretation for clinical information contained in the SAE</w:t>
            </w:r>
          </w:p>
        </w:tc>
      </w:tr>
      <w:tr w:rsidR="008344B1" w:rsidRPr="007321D2" w14:paraId="341FAAC8" w14:textId="77777777" w:rsidTr="00FE283D">
        <w:tc>
          <w:tcPr>
            <w:tcW w:w="2921" w:type="dxa"/>
            <w:shd w:val="clear" w:color="auto" w:fill="auto"/>
          </w:tcPr>
          <w:p w14:paraId="56947001" w14:textId="3A0DE7AE" w:rsidR="008344B1" w:rsidRPr="00C163CA" w:rsidRDefault="1C5C35EE" w:rsidP="1C5C35EE">
            <w:pPr>
              <w:rPr>
                <w:rFonts w:ascii="Arial" w:hAnsi="Arial" w:cs="Arial"/>
                <w:sz w:val="22"/>
                <w:szCs w:val="22"/>
              </w:rPr>
            </w:pPr>
            <w:r w:rsidRPr="1C5C35EE">
              <w:rPr>
                <w:rFonts w:ascii="Arial" w:hAnsi="Arial" w:cs="Arial"/>
                <w:sz w:val="22"/>
                <w:szCs w:val="22"/>
              </w:rPr>
              <w:t>Project Lead or Project Lead delegate</w:t>
            </w:r>
          </w:p>
        </w:tc>
        <w:tc>
          <w:tcPr>
            <w:tcW w:w="5958" w:type="dxa"/>
            <w:shd w:val="clear" w:color="auto" w:fill="auto"/>
          </w:tcPr>
          <w:p w14:paraId="7695D997" w14:textId="6B0A6B40" w:rsidR="008344B1" w:rsidRPr="004F0653" w:rsidRDefault="004F0653" w:rsidP="00FE283D">
            <w:pPr>
              <w:pStyle w:val="ListParagraph"/>
              <w:numPr>
                <w:ilvl w:val="0"/>
                <w:numId w:val="12"/>
              </w:numPr>
              <w:ind w:left="360"/>
              <w:rPr>
                <w:rFonts w:ascii="Arial" w:hAnsi="Arial" w:cs="Arial"/>
                <w:sz w:val="22"/>
                <w:szCs w:val="22"/>
              </w:rPr>
            </w:pPr>
            <w:r>
              <w:rPr>
                <w:rFonts w:ascii="Arial" w:hAnsi="Arial" w:cs="Arial"/>
                <w:sz w:val="22"/>
                <w:szCs w:val="22"/>
              </w:rPr>
              <w:t>Determine frequency</w:t>
            </w:r>
            <w:r w:rsidR="008767C2">
              <w:rPr>
                <w:rFonts w:ascii="Arial" w:hAnsi="Arial" w:cs="Arial"/>
                <w:sz w:val="22"/>
                <w:szCs w:val="22"/>
              </w:rPr>
              <w:t xml:space="preserve"> of SAE reconciliation </w:t>
            </w:r>
          </w:p>
        </w:tc>
      </w:tr>
    </w:tbl>
    <w:p w14:paraId="41C8F396" w14:textId="77777777" w:rsidR="004404D0" w:rsidRPr="007321D2" w:rsidRDefault="004404D0" w:rsidP="00A87B23">
      <w:pPr>
        <w:rPr>
          <w:rFonts w:ascii="Arial" w:eastAsiaTheme="minorHAnsi" w:hAnsi="Arial" w:cs="Arial"/>
        </w:rPr>
      </w:pPr>
      <w:bookmarkStart w:id="2" w:name="_Toc289954300"/>
    </w:p>
    <w:p w14:paraId="27BFF1BE" w14:textId="68A47798" w:rsidR="00DD16FF" w:rsidRPr="00FE283D" w:rsidRDefault="00DD16FF" w:rsidP="00FE283D">
      <w:pPr>
        <w:pStyle w:val="Heading1"/>
        <w:numPr>
          <w:ilvl w:val="0"/>
          <w:numId w:val="21"/>
        </w:numPr>
        <w:spacing w:before="0" w:after="120"/>
        <w:ind w:left="360"/>
        <w:rPr>
          <w:rFonts w:ascii="Arial" w:eastAsiaTheme="minorHAnsi" w:hAnsi="Arial" w:cs="Arial"/>
          <w:sz w:val="24"/>
        </w:rPr>
      </w:pPr>
      <w:r w:rsidRPr="00FE283D">
        <w:rPr>
          <w:rFonts w:ascii="Arial" w:eastAsiaTheme="minorHAnsi" w:hAnsi="Arial" w:cs="Arial"/>
          <w:sz w:val="24"/>
        </w:rPr>
        <w:t>Definitions</w:t>
      </w:r>
    </w:p>
    <w:p w14:paraId="034B33DA" w14:textId="1D8CBACC" w:rsidR="001A50A1" w:rsidRPr="00FE283D" w:rsidRDefault="001A50A1" w:rsidP="00FE283D">
      <w:pPr>
        <w:spacing w:after="120"/>
        <w:rPr>
          <w:rFonts w:ascii="Arial" w:hAnsi="Arial" w:cs="Arial"/>
          <w:sz w:val="22"/>
          <w:szCs w:val="22"/>
        </w:rPr>
      </w:pPr>
      <w:r w:rsidRPr="00FE283D">
        <w:rPr>
          <w:rFonts w:ascii="Arial" w:hAnsi="Arial" w:cs="Arial"/>
          <w:b/>
          <w:sz w:val="22"/>
          <w:szCs w:val="22"/>
        </w:rPr>
        <w:t>AE: Adverse Event</w:t>
      </w:r>
      <w:r w:rsidR="00FC66FF" w:rsidRPr="00FE283D">
        <w:rPr>
          <w:rFonts w:ascii="Arial" w:hAnsi="Arial" w:cs="Arial"/>
          <w:sz w:val="22"/>
          <w:szCs w:val="22"/>
        </w:rPr>
        <w:t xml:space="preserve">. </w:t>
      </w:r>
      <w:r w:rsidR="00A55828" w:rsidRPr="00FE283D">
        <w:rPr>
          <w:rFonts w:ascii="Arial" w:hAnsi="Arial" w:cs="Arial"/>
          <w:sz w:val="22"/>
          <w:szCs w:val="22"/>
        </w:rPr>
        <w:t>Any untoward medical occurrence in a patient or clinical investigation subject administered a pharmaceutical product and which does not necessarily have a causal relationship with this treatment</w:t>
      </w:r>
      <w:r w:rsidR="00A31EBE" w:rsidRPr="00FE283D">
        <w:rPr>
          <w:rFonts w:ascii="Arial" w:hAnsi="Arial" w:cs="Arial"/>
          <w:sz w:val="22"/>
          <w:szCs w:val="22"/>
        </w:rPr>
        <w:t>.</w:t>
      </w:r>
    </w:p>
    <w:p w14:paraId="6FD7E013" w14:textId="7BC8F642" w:rsidR="08C901BC" w:rsidRDefault="08C901BC" w:rsidP="08C901BC">
      <w:pPr>
        <w:spacing w:after="120"/>
        <w:rPr>
          <w:rFonts w:ascii="Arial" w:hAnsi="Arial" w:cs="Arial"/>
          <w:sz w:val="22"/>
          <w:szCs w:val="22"/>
        </w:rPr>
      </w:pPr>
      <w:r w:rsidRPr="08C901BC">
        <w:rPr>
          <w:rFonts w:ascii="Arial" w:hAnsi="Arial" w:cs="Arial"/>
          <w:b/>
          <w:bCs/>
          <w:sz w:val="22"/>
          <w:szCs w:val="22"/>
        </w:rPr>
        <w:t>GCP</w:t>
      </w:r>
      <w:r w:rsidRPr="08C901BC">
        <w:rPr>
          <w:rFonts w:ascii="Arial" w:hAnsi="Arial" w:cs="Arial"/>
          <w:sz w:val="22"/>
          <w:szCs w:val="22"/>
        </w:rPr>
        <w:t xml:space="preserve">: Good Clinical Practice. </w:t>
      </w:r>
      <w:r w:rsidRPr="08C901BC">
        <w:rPr>
          <w:rFonts w:ascii="Arial" w:eastAsia="Arial" w:hAnsi="Arial" w:cs="Arial"/>
          <w:sz w:val="22"/>
          <w:szCs w:val="22"/>
        </w:rPr>
        <w:t>A standard for the design, conduct, performance, monitoring, auditing, recording, analyses, and reporting of clinical trials that provides assurance that the data and reported results are credible and accurate, and that the rights, integrity, and confidentiality of trial subjects are protected.</w:t>
      </w:r>
    </w:p>
    <w:p w14:paraId="1CB84268" w14:textId="41230B98" w:rsidR="002A6DA8" w:rsidRPr="00FE283D" w:rsidRDefault="002A6DA8" w:rsidP="00FE283D">
      <w:pPr>
        <w:spacing w:after="120"/>
        <w:rPr>
          <w:rFonts w:ascii="Arial" w:hAnsi="Arial" w:cs="Arial"/>
          <w:sz w:val="22"/>
          <w:szCs w:val="22"/>
        </w:rPr>
      </w:pPr>
      <w:r w:rsidRPr="00F37ED1">
        <w:rPr>
          <w:rFonts w:ascii="Arial" w:hAnsi="Arial" w:cs="Arial"/>
          <w:b/>
          <w:bCs/>
          <w:sz w:val="22"/>
          <w:szCs w:val="22"/>
        </w:rPr>
        <w:lastRenderedPageBreak/>
        <w:t xml:space="preserve">PV: Pharmacovigilance: </w:t>
      </w:r>
      <w:r w:rsidRPr="00F37ED1">
        <w:rPr>
          <w:rFonts w:ascii="Arial" w:hAnsi="Arial" w:cs="Arial"/>
          <w:sz w:val="22"/>
          <w:szCs w:val="22"/>
        </w:rPr>
        <w:t xml:space="preserve">The collection, proper documentation and reporting of side effects, adverse </w:t>
      </w:r>
      <w:proofErr w:type="gramStart"/>
      <w:r w:rsidRPr="00F37ED1">
        <w:rPr>
          <w:rFonts w:ascii="Arial" w:hAnsi="Arial" w:cs="Arial"/>
          <w:sz w:val="22"/>
          <w:szCs w:val="22"/>
        </w:rPr>
        <w:t>effects</w:t>
      </w:r>
      <w:proofErr w:type="gramEnd"/>
      <w:r w:rsidRPr="00F37ED1">
        <w:rPr>
          <w:rFonts w:ascii="Arial" w:hAnsi="Arial" w:cs="Arial"/>
          <w:sz w:val="22"/>
          <w:szCs w:val="22"/>
        </w:rPr>
        <w:t xml:space="preserve"> and any untoward health reaction to the subject of a clinical trial.</w:t>
      </w:r>
    </w:p>
    <w:p w14:paraId="387C6224" w14:textId="77777777" w:rsidR="00A55828" w:rsidRPr="00FE283D" w:rsidRDefault="00B04AEF" w:rsidP="00FE283D">
      <w:pPr>
        <w:spacing w:after="120"/>
        <w:rPr>
          <w:rFonts w:ascii="Arial" w:hAnsi="Arial" w:cs="Arial"/>
          <w:sz w:val="22"/>
          <w:szCs w:val="22"/>
        </w:rPr>
      </w:pPr>
      <w:r w:rsidRPr="00FE283D">
        <w:rPr>
          <w:rFonts w:ascii="Arial" w:hAnsi="Arial" w:cs="Arial"/>
          <w:b/>
          <w:sz w:val="22"/>
          <w:szCs w:val="22"/>
        </w:rPr>
        <w:t>SAE: Serious Adverse Event</w:t>
      </w:r>
      <w:r w:rsidR="00A55828" w:rsidRPr="00FE283D">
        <w:rPr>
          <w:rFonts w:ascii="Arial" w:hAnsi="Arial" w:cs="Arial"/>
          <w:sz w:val="22"/>
          <w:szCs w:val="22"/>
        </w:rPr>
        <w:t xml:space="preserve">. A serious adverse event (SAE) in clinical trials is an adverse event which can be categorized in one (or more) of the following </w:t>
      </w:r>
      <w:proofErr w:type="gramStart"/>
      <w:r w:rsidR="00A55828" w:rsidRPr="00FE283D">
        <w:rPr>
          <w:rFonts w:ascii="Arial" w:hAnsi="Arial" w:cs="Arial"/>
          <w:sz w:val="22"/>
          <w:szCs w:val="22"/>
        </w:rPr>
        <w:t>categories</w:t>
      </w:r>
      <w:proofErr w:type="gramEnd"/>
    </w:p>
    <w:p w14:paraId="77F63650" w14:textId="77777777" w:rsidR="00A55828" w:rsidRDefault="00A55828" w:rsidP="00A55828">
      <w:pPr>
        <w:pStyle w:val="ListParagraph"/>
        <w:numPr>
          <w:ilvl w:val="1"/>
          <w:numId w:val="16"/>
        </w:numPr>
        <w:rPr>
          <w:rFonts w:ascii="Arial" w:hAnsi="Arial" w:cs="Arial"/>
          <w:sz w:val="22"/>
          <w:szCs w:val="22"/>
        </w:rPr>
      </w:pPr>
      <w:r w:rsidRPr="00A55828">
        <w:rPr>
          <w:rFonts w:ascii="Arial" w:hAnsi="Arial" w:cs="Arial"/>
          <w:sz w:val="22"/>
          <w:szCs w:val="22"/>
        </w:rPr>
        <w:t xml:space="preserve">results in death </w:t>
      </w:r>
    </w:p>
    <w:p w14:paraId="653826BD" w14:textId="77777777" w:rsidR="00A55828" w:rsidRDefault="00A55828" w:rsidP="00A55828">
      <w:pPr>
        <w:pStyle w:val="ListParagraph"/>
        <w:numPr>
          <w:ilvl w:val="1"/>
          <w:numId w:val="16"/>
        </w:numPr>
        <w:rPr>
          <w:rFonts w:ascii="Arial" w:hAnsi="Arial" w:cs="Arial"/>
          <w:sz w:val="22"/>
          <w:szCs w:val="22"/>
        </w:rPr>
      </w:pPr>
      <w:r w:rsidRPr="00A55828">
        <w:rPr>
          <w:rFonts w:ascii="Arial" w:hAnsi="Arial" w:cs="Arial"/>
          <w:sz w:val="22"/>
          <w:szCs w:val="22"/>
        </w:rPr>
        <w:t xml:space="preserve">life-threatening </w:t>
      </w:r>
    </w:p>
    <w:p w14:paraId="7388AFB6" w14:textId="71EB97E2" w:rsidR="00A55828" w:rsidRPr="00A55828" w:rsidRDefault="00A55828" w:rsidP="003C62ED">
      <w:pPr>
        <w:pStyle w:val="ListParagraph"/>
        <w:numPr>
          <w:ilvl w:val="1"/>
          <w:numId w:val="16"/>
        </w:numPr>
        <w:rPr>
          <w:rFonts w:ascii="Arial" w:hAnsi="Arial" w:cs="Arial"/>
          <w:sz w:val="22"/>
          <w:szCs w:val="22"/>
        </w:rPr>
      </w:pPr>
      <w:r w:rsidRPr="00A55828">
        <w:rPr>
          <w:rFonts w:ascii="Arial" w:hAnsi="Arial" w:cs="Arial"/>
          <w:sz w:val="22"/>
          <w:szCs w:val="22"/>
        </w:rPr>
        <w:t>requires inpatient hospitalization or</w:t>
      </w:r>
      <w:r>
        <w:rPr>
          <w:rFonts w:ascii="Arial" w:hAnsi="Arial" w:cs="Arial"/>
          <w:sz w:val="22"/>
          <w:szCs w:val="22"/>
        </w:rPr>
        <w:t xml:space="preserve"> </w:t>
      </w:r>
      <w:r w:rsidRPr="00A55828">
        <w:rPr>
          <w:rFonts w:ascii="Arial" w:hAnsi="Arial" w:cs="Arial"/>
          <w:sz w:val="22"/>
          <w:szCs w:val="22"/>
        </w:rPr>
        <w:t xml:space="preserve">prolongation of existing </w:t>
      </w:r>
      <w:proofErr w:type="gramStart"/>
      <w:r w:rsidRPr="00A55828">
        <w:rPr>
          <w:rFonts w:ascii="Arial" w:hAnsi="Arial" w:cs="Arial"/>
          <w:sz w:val="22"/>
          <w:szCs w:val="22"/>
        </w:rPr>
        <w:t>hospitalization</w:t>
      </w:r>
      <w:proofErr w:type="gramEnd"/>
    </w:p>
    <w:p w14:paraId="5DC9C9BC" w14:textId="13B4B1F8" w:rsidR="00A55828" w:rsidRPr="00A55828" w:rsidRDefault="00A55828" w:rsidP="00A55828">
      <w:pPr>
        <w:pStyle w:val="ListParagraph"/>
        <w:numPr>
          <w:ilvl w:val="1"/>
          <w:numId w:val="16"/>
        </w:numPr>
        <w:rPr>
          <w:rFonts w:ascii="Arial" w:hAnsi="Arial" w:cs="Arial"/>
          <w:sz w:val="22"/>
          <w:szCs w:val="22"/>
        </w:rPr>
      </w:pPr>
      <w:r w:rsidRPr="00A55828">
        <w:rPr>
          <w:rFonts w:ascii="Arial" w:hAnsi="Arial" w:cs="Arial"/>
          <w:sz w:val="22"/>
          <w:szCs w:val="22"/>
        </w:rPr>
        <w:t>results in persistent or significant disability/incapacity</w:t>
      </w:r>
    </w:p>
    <w:p w14:paraId="214D0B70" w14:textId="50FBDBD3" w:rsidR="00A55828" w:rsidRPr="00A55828" w:rsidRDefault="00A55828" w:rsidP="00A55828">
      <w:pPr>
        <w:pStyle w:val="ListParagraph"/>
        <w:numPr>
          <w:ilvl w:val="1"/>
          <w:numId w:val="16"/>
        </w:numPr>
        <w:rPr>
          <w:rFonts w:ascii="Arial" w:hAnsi="Arial" w:cs="Arial"/>
          <w:sz w:val="22"/>
          <w:szCs w:val="22"/>
        </w:rPr>
      </w:pPr>
      <w:r w:rsidRPr="00A55828">
        <w:rPr>
          <w:rFonts w:ascii="Arial" w:hAnsi="Arial" w:cs="Arial"/>
          <w:sz w:val="22"/>
          <w:szCs w:val="22"/>
        </w:rPr>
        <w:t xml:space="preserve">is a congenital anomaly/birth </w:t>
      </w:r>
      <w:proofErr w:type="gramStart"/>
      <w:r w:rsidRPr="00A55828">
        <w:rPr>
          <w:rFonts w:ascii="Arial" w:hAnsi="Arial" w:cs="Arial"/>
          <w:sz w:val="22"/>
          <w:szCs w:val="22"/>
        </w:rPr>
        <w:t>defect</w:t>
      </w:r>
      <w:proofErr w:type="gramEnd"/>
    </w:p>
    <w:p w14:paraId="6F802095" w14:textId="495CFFE1" w:rsidR="00EC73CF" w:rsidRPr="00BB378F" w:rsidRDefault="00A55828" w:rsidP="00BB378F">
      <w:pPr>
        <w:pStyle w:val="ListParagraph"/>
        <w:numPr>
          <w:ilvl w:val="1"/>
          <w:numId w:val="16"/>
        </w:numPr>
        <w:rPr>
          <w:rFonts w:ascii="Arial" w:hAnsi="Arial" w:cs="Arial"/>
          <w:sz w:val="22"/>
          <w:szCs w:val="22"/>
        </w:rPr>
      </w:pPr>
      <w:r w:rsidRPr="00A55828">
        <w:rPr>
          <w:rFonts w:ascii="Arial" w:hAnsi="Arial" w:cs="Arial"/>
          <w:sz w:val="22"/>
          <w:szCs w:val="22"/>
        </w:rPr>
        <w:t>requires intervention to prevent permanent impairment or damage</w:t>
      </w:r>
      <w:r w:rsidR="00BB378F">
        <w:rPr>
          <w:rFonts w:ascii="Arial" w:hAnsi="Arial" w:cs="Arial"/>
          <w:sz w:val="22"/>
          <w:szCs w:val="22"/>
        </w:rPr>
        <w:br/>
      </w:r>
    </w:p>
    <w:p w14:paraId="1DE1BCB6" w14:textId="01FA3D76" w:rsidR="002A6DA8" w:rsidRDefault="002A6DA8" w:rsidP="000E67B1">
      <w:pPr>
        <w:spacing w:after="120"/>
        <w:rPr>
          <w:rFonts w:ascii="Arial" w:hAnsi="Arial" w:cs="Arial"/>
          <w:b/>
          <w:sz w:val="22"/>
          <w:szCs w:val="22"/>
        </w:rPr>
      </w:pPr>
      <w:r w:rsidRPr="00FE283D">
        <w:rPr>
          <w:rFonts w:ascii="Arial" w:hAnsi="Arial" w:cs="Arial"/>
          <w:b/>
          <w:sz w:val="22"/>
          <w:szCs w:val="22"/>
        </w:rPr>
        <w:t xml:space="preserve">Safety database. </w:t>
      </w:r>
      <w:r w:rsidRPr="00FE283D">
        <w:rPr>
          <w:rFonts w:ascii="Arial" w:hAnsi="Arial" w:cs="Arial"/>
          <w:sz w:val="22"/>
          <w:szCs w:val="22"/>
        </w:rPr>
        <w:t xml:space="preserve">A database where all SAE reports, safety data and information (mails, death reports…) received by pharmacovigilance are stored. This can be a secure electronic filing system for reports, or a specialized database. </w:t>
      </w:r>
    </w:p>
    <w:p w14:paraId="4201DD09" w14:textId="1FAF29C2" w:rsidR="00DD16FF" w:rsidRPr="00FE283D" w:rsidRDefault="6B86B81A" w:rsidP="00FE283D">
      <w:pPr>
        <w:spacing w:after="120"/>
        <w:rPr>
          <w:rFonts w:ascii="Arial" w:hAnsi="Arial" w:cs="Arial"/>
          <w:sz w:val="22"/>
          <w:szCs w:val="22"/>
        </w:rPr>
      </w:pPr>
      <w:r w:rsidRPr="6B86B81A">
        <w:rPr>
          <w:rFonts w:ascii="Arial" w:hAnsi="Arial" w:cs="Arial"/>
          <w:b/>
          <w:bCs/>
          <w:sz w:val="22"/>
          <w:szCs w:val="22"/>
        </w:rPr>
        <w:t>Secure electronic filing system</w:t>
      </w:r>
      <w:r w:rsidRPr="6B86B81A">
        <w:rPr>
          <w:rFonts w:ascii="Arial" w:hAnsi="Arial" w:cs="Arial"/>
          <w:sz w:val="22"/>
          <w:szCs w:val="22"/>
        </w:rPr>
        <w:t xml:space="preserve">: a system consisting of access controlled electronic folders. </w:t>
      </w:r>
    </w:p>
    <w:p w14:paraId="732B53FB" w14:textId="2C185B19" w:rsidR="00D7088F" w:rsidRDefault="00D7088F" w:rsidP="553EC2CD">
      <w:pPr>
        <w:spacing w:after="120"/>
        <w:rPr>
          <w:rFonts w:ascii="Arial" w:hAnsi="Arial" w:cs="Arial"/>
          <w:sz w:val="22"/>
          <w:szCs w:val="22"/>
        </w:rPr>
      </w:pPr>
      <w:moveFromRangeStart w:id="3" w:author="Hanne Landuyt" w:date="2019-10-04T15:22:00Z" w:name="move21094988"/>
      <w:moveFromRangeEnd w:id="3"/>
      <w:r w:rsidRPr="00FE283D">
        <w:rPr>
          <w:rFonts w:ascii="Arial" w:hAnsi="Arial" w:cs="Arial"/>
          <w:b/>
          <w:bCs/>
          <w:sz w:val="22"/>
          <w:szCs w:val="22"/>
        </w:rPr>
        <w:t xml:space="preserve">Study database. </w:t>
      </w:r>
      <w:r w:rsidRPr="00FE283D">
        <w:rPr>
          <w:rFonts w:ascii="Arial" w:hAnsi="Arial" w:cs="Arial"/>
          <w:sz w:val="22"/>
          <w:szCs w:val="22"/>
        </w:rPr>
        <w:t xml:space="preserve">A database where all </w:t>
      </w:r>
      <w:r w:rsidR="6B86B81A" w:rsidRPr="00FE283D">
        <w:rPr>
          <w:rFonts w:ascii="Arial" w:hAnsi="Arial" w:cs="Arial"/>
          <w:sz w:val="22"/>
          <w:szCs w:val="22"/>
        </w:rPr>
        <w:t xml:space="preserve">study </w:t>
      </w:r>
      <w:r w:rsidRPr="00FE283D">
        <w:rPr>
          <w:rFonts w:ascii="Arial" w:hAnsi="Arial" w:cs="Arial"/>
          <w:sz w:val="22"/>
          <w:szCs w:val="22"/>
        </w:rPr>
        <w:t>data</w:t>
      </w:r>
      <w:r w:rsidR="6B86B81A" w:rsidRPr="00FE283D">
        <w:rPr>
          <w:rFonts w:ascii="Arial" w:hAnsi="Arial" w:cs="Arial"/>
          <w:sz w:val="22"/>
          <w:szCs w:val="22"/>
        </w:rPr>
        <w:t>, including s</w:t>
      </w:r>
      <w:r w:rsidR="553EC2CD" w:rsidRPr="00FE283D">
        <w:rPr>
          <w:rFonts w:ascii="Arial" w:hAnsi="Arial" w:cs="Arial"/>
          <w:sz w:val="22"/>
          <w:szCs w:val="22"/>
        </w:rPr>
        <w:t>ome s</w:t>
      </w:r>
      <w:r w:rsidR="6B86B81A" w:rsidRPr="00FE283D">
        <w:rPr>
          <w:rFonts w:ascii="Arial" w:hAnsi="Arial" w:cs="Arial"/>
          <w:sz w:val="22"/>
          <w:szCs w:val="22"/>
        </w:rPr>
        <w:t>afety data</w:t>
      </w:r>
      <w:r w:rsidR="00DA3EC6" w:rsidRPr="00FE283D">
        <w:rPr>
          <w:rFonts w:ascii="Arial" w:hAnsi="Arial" w:cs="Arial"/>
          <w:sz w:val="22"/>
          <w:szCs w:val="22"/>
        </w:rPr>
        <w:t xml:space="preserve"> </w:t>
      </w:r>
      <w:r w:rsidR="6B86B81A" w:rsidRPr="00FE283D">
        <w:rPr>
          <w:rFonts w:ascii="Arial" w:hAnsi="Arial" w:cs="Arial"/>
          <w:sz w:val="22"/>
          <w:szCs w:val="22"/>
        </w:rPr>
        <w:t>are</w:t>
      </w:r>
      <w:r w:rsidR="004C535C" w:rsidRPr="00FE283D">
        <w:rPr>
          <w:rFonts w:ascii="Arial" w:hAnsi="Arial" w:cs="Arial"/>
          <w:sz w:val="22"/>
          <w:szCs w:val="22"/>
        </w:rPr>
        <w:t xml:space="preserve"> stored</w:t>
      </w:r>
      <w:r w:rsidR="00C255B6" w:rsidRPr="00FE283D">
        <w:rPr>
          <w:rFonts w:ascii="Arial" w:hAnsi="Arial" w:cs="Arial"/>
          <w:sz w:val="22"/>
          <w:szCs w:val="22"/>
        </w:rPr>
        <w:t>.</w:t>
      </w:r>
    </w:p>
    <w:p w14:paraId="1753B1EF" w14:textId="77777777" w:rsidR="00EC73CF" w:rsidRPr="00FE283D" w:rsidRDefault="00EC73CF" w:rsidP="00FE283D">
      <w:pPr>
        <w:spacing w:after="120"/>
        <w:rPr>
          <w:rFonts w:ascii="Arial" w:hAnsi="Arial" w:cs="Arial"/>
          <w:b/>
          <w:sz w:val="22"/>
          <w:szCs w:val="22"/>
        </w:rPr>
      </w:pPr>
    </w:p>
    <w:p w14:paraId="32FAD323" w14:textId="0E572DD9" w:rsidR="00F21980" w:rsidRPr="008470C4" w:rsidRDefault="475C15FA" w:rsidP="00FE283D">
      <w:pPr>
        <w:pStyle w:val="Heading1"/>
        <w:numPr>
          <w:ilvl w:val="0"/>
          <w:numId w:val="21"/>
        </w:numPr>
        <w:spacing w:before="0" w:after="120"/>
        <w:ind w:left="360"/>
        <w:rPr>
          <w:szCs w:val="24"/>
        </w:rPr>
      </w:pPr>
      <w:r w:rsidRPr="00B8727C">
        <w:rPr>
          <w:rFonts w:ascii="Arial" w:eastAsiaTheme="minorHAnsi" w:hAnsi="Arial" w:cs="Arial"/>
          <w:bCs w:val="0"/>
          <w:sz w:val="24"/>
          <w:szCs w:val="24"/>
        </w:rPr>
        <w:t>Procedures</w:t>
      </w:r>
      <w:bookmarkEnd w:id="2"/>
    </w:p>
    <w:p w14:paraId="564D3C5F" w14:textId="7F9E1A4D" w:rsidR="00C968F1" w:rsidRPr="00FE283D" w:rsidRDefault="00C968F1" w:rsidP="00A87B23">
      <w:pPr>
        <w:rPr>
          <w:rFonts w:ascii="Arial" w:hAnsi="Arial" w:cs="Arial"/>
          <w:sz w:val="22"/>
          <w:szCs w:val="22"/>
        </w:rPr>
      </w:pPr>
      <w:r w:rsidRPr="00FE283D">
        <w:rPr>
          <w:rFonts w:ascii="Arial" w:hAnsi="Arial" w:cs="Arial"/>
          <w:sz w:val="22"/>
          <w:szCs w:val="22"/>
        </w:rPr>
        <w:t>All</w:t>
      </w:r>
      <w:r w:rsidRPr="00FE283D">
        <w:rPr>
          <w:rFonts w:ascii="Arial" w:hAnsi="Arial" w:cs="Arial"/>
          <w:b/>
          <w:sz w:val="22"/>
          <w:szCs w:val="22"/>
        </w:rPr>
        <w:t xml:space="preserve"> </w:t>
      </w:r>
      <w:r w:rsidRPr="00FE283D">
        <w:rPr>
          <w:rFonts w:ascii="Arial" w:hAnsi="Arial" w:cs="Arial"/>
          <w:sz w:val="22"/>
          <w:szCs w:val="22"/>
        </w:rPr>
        <w:t>SAE data should be followed up during the study</w:t>
      </w:r>
      <w:r w:rsidR="00D64486">
        <w:rPr>
          <w:rFonts w:ascii="Arial" w:hAnsi="Arial" w:cs="Arial"/>
          <w:sz w:val="22"/>
          <w:szCs w:val="22"/>
        </w:rPr>
        <w:t>.</w:t>
      </w:r>
      <w:r w:rsidR="000725E9" w:rsidRPr="00FE283D">
        <w:rPr>
          <w:rFonts w:ascii="Arial" w:hAnsi="Arial" w:cs="Arial"/>
          <w:sz w:val="22"/>
          <w:szCs w:val="22"/>
        </w:rPr>
        <w:t xml:space="preserve"> Reconciliation should be part of the data review. </w:t>
      </w:r>
      <w:r w:rsidR="006C0F4C" w:rsidRPr="00FE283D">
        <w:rPr>
          <w:rFonts w:ascii="Arial" w:hAnsi="Arial" w:cs="Arial"/>
          <w:sz w:val="22"/>
          <w:szCs w:val="22"/>
        </w:rPr>
        <w:t xml:space="preserve"> The reports received at PV will</w:t>
      </w:r>
      <w:r w:rsidR="00BA2CA3">
        <w:rPr>
          <w:rFonts w:ascii="Arial" w:hAnsi="Arial" w:cs="Arial"/>
          <w:sz w:val="22"/>
          <w:szCs w:val="22"/>
        </w:rPr>
        <w:t xml:space="preserve"> often</w:t>
      </w:r>
      <w:r w:rsidR="006C0F4C" w:rsidRPr="00FE283D">
        <w:rPr>
          <w:rFonts w:ascii="Arial" w:hAnsi="Arial" w:cs="Arial"/>
          <w:sz w:val="22"/>
          <w:szCs w:val="22"/>
        </w:rPr>
        <w:t xml:space="preserve"> be the most updated safety data during the study. However, </w:t>
      </w:r>
      <w:r w:rsidR="003B173F" w:rsidRPr="00FE283D">
        <w:rPr>
          <w:rFonts w:ascii="Arial" w:hAnsi="Arial" w:cs="Arial"/>
          <w:sz w:val="22"/>
          <w:szCs w:val="22"/>
        </w:rPr>
        <w:t>efforts should be made to have the study database reflect the PV data as closely as possible during the study.</w:t>
      </w:r>
    </w:p>
    <w:p w14:paraId="10EFDD1B" w14:textId="5D021339" w:rsidR="00AF06CF" w:rsidRPr="00FE283D" w:rsidRDefault="00AF06CF" w:rsidP="00A87B23">
      <w:pPr>
        <w:rPr>
          <w:rFonts w:ascii="Arial" w:hAnsi="Arial" w:cs="Arial"/>
          <w:sz w:val="22"/>
          <w:szCs w:val="22"/>
        </w:rPr>
      </w:pPr>
    </w:p>
    <w:p w14:paraId="33A85750" w14:textId="4E280440" w:rsidR="00AF06CF" w:rsidRPr="00FE283D" w:rsidRDefault="00AF06CF" w:rsidP="00A87B23">
      <w:pPr>
        <w:rPr>
          <w:rFonts w:ascii="Arial" w:hAnsi="Arial" w:cs="Arial"/>
          <w:sz w:val="22"/>
          <w:szCs w:val="22"/>
        </w:rPr>
      </w:pPr>
      <w:r w:rsidRPr="00FE283D">
        <w:rPr>
          <w:rFonts w:ascii="Arial" w:hAnsi="Arial" w:cs="Arial"/>
          <w:sz w:val="22"/>
          <w:szCs w:val="22"/>
        </w:rPr>
        <w:t xml:space="preserve">Reconciliation for a specific SAE can only be finalized once the </w:t>
      </w:r>
      <w:r w:rsidR="00CB6643" w:rsidRPr="00FE283D">
        <w:rPr>
          <w:rFonts w:ascii="Arial" w:hAnsi="Arial" w:cs="Arial"/>
          <w:sz w:val="22"/>
          <w:szCs w:val="22"/>
        </w:rPr>
        <w:t>SAE is closed or resolved.</w:t>
      </w:r>
    </w:p>
    <w:p w14:paraId="59087422" w14:textId="77777777" w:rsidR="0011316F" w:rsidRPr="00FE283D" w:rsidRDefault="0011316F" w:rsidP="00A87B23">
      <w:pPr>
        <w:rPr>
          <w:rFonts w:ascii="Arial" w:hAnsi="Arial" w:cs="Arial"/>
          <w:b/>
          <w:sz w:val="22"/>
          <w:szCs w:val="22"/>
        </w:rPr>
      </w:pPr>
    </w:p>
    <w:p w14:paraId="0D0B940D" w14:textId="383C3AB7" w:rsidR="00A87B23" w:rsidRPr="00FE283D" w:rsidRDefault="00E5283D" w:rsidP="00FE283D">
      <w:pPr>
        <w:pStyle w:val="ListParagraph"/>
        <w:numPr>
          <w:ilvl w:val="1"/>
          <w:numId w:val="21"/>
        </w:numPr>
        <w:rPr>
          <w:rFonts w:ascii="Arial" w:hAnsi="Arial" w:cs="Arial"/>
          <w:b/>
          <w:color w:val="365F91" w:themeColor="accent1" w:themeShade="BF"/>
          <w:sz w:val="22"/>
          <w:szCs w:val="22"/>
        </w:rPr>
      </w:pPr>
      <w:r w:rsidRPr="00FE283D">
        <w:rPr>
          <w:rFonts w:ascii="Arial" w:hAnsi="Arial" w:cs="Arial"/>
          <w:b/>
          <w:color w:val="365F91" w:themeColor="accent1" w:themeShade="BF"/>
          <w:sz w:val="22"/>
          <w:szCs w:val="22"/>
        </w:rPr>
        <w:t xml:space="preserve">Define </w:t>
      </w:r>
      <w:proofErr w:type="gramStart"/>
      <w:r w:rsidR="005B7B56" w:rsidRPr="00FE283D">
        <w:rPr>
          <w:rFonts w:ascii="Arial" w:hAnsi="Arial" w:cs="Arial"/>
          <w:b/>
          <w:color w:val="365F91" w:themeColor="accent1" w:themeShade="BF"/>
          <w:sz w:val="22"/>
          <w:szCs w:val="22"/>
        </w:rPr>
        <w:t>dataflows</w:t>
      </w:r>
      <w:proofErr w:type="gramEnd"/>
    </w:p>
    <w:p w14:paraId="750BB765" w14:textId="71EA8382" w:rsidR="007B488A" w:rsidRPr="00FE283D" w:rsidRDefault="00815931" w:rsidP="00EF160A">
      <w:pPr>
        <w:pStyle w:val="ListParagraph"/>
        <w:numPr>
          <w:ilvl w:val="0"/>
          <w:numId w:val="19"/>
        </w:numPr>
        <w:rPr>
          <w:rFonts w:ascii="Arial" w:hAnsi="Arial" w:cs="Arial"/>
          <w:sz w:val="22"/>
          <w:szCs w:val="22"/>
        </w:rPr>
      </w:pPr>
      <w:r w:rsidRPr="00FE283D">
        <w:rPr>
          <w:rFonts w:ascii="Arial" w:hAnsi="Arial" w:cs="Arial"/>
          <w:sz w:val="22"/>
          <w:szCs w:val="22"/>
        </w:rPr>
        <w:t xml:space="preserve">The </w:t>
      </w:r>
      <w:r w:rsidR="00854DD3" w:rsidRPr="00FE283D">
        <w:rPr>
          <w:rFonts w:ascii="Arial" w:hAnsi="Arial" w:cs="Arial"/>
          <w:sz w:val="22"/>
          <w:szCs w:val="22"/>
        </w:rPr>
        <w:t xml:space="preserve">SAE reports received at </w:t>
      </w:r>
      <w:proofErr w:type="gramStart"/>
      <w:r w:rsidR="00854DD3" w:rsidRPr="00FE283D">
        <w:rPr>
          <w:rFonts w:ascii="Arial" w:hAnsi="Arial" w:cs="Arial"/>
          <w:sz w:val="22"/>
          <w:szCs w:val="22"/>
        </w:rPr>
        <w:t>pharmacovigilance</w:t>
      </w:r>
      <w:proofErr w:type="gramEnd"/>
    </w:p>
    <w:p w14:paraId="40971538" w14:textId="54821118" w:rsidR="009F37C6" w:rsidRPr="00FE283D" w:rsidRDefault="00EF160A" w:rsidP="00FE283D">
      <w:pPr>
        <w:pStyle w:val="ListParagraph"/>
        <w:numPr>
          <w:ilvl w:val="0"/>
          <w:numId w:val="19"/>
        </w:numPr>
        <w:rPr>
          <w:rFonts w:ascii="Arial" w:hAnsi="Arial" w:cs="Arial"/>
          <w:sz w:val="22"/>
          <w:szCs w:val="22"/>
        </w:rPr>
      </w:pPr>
      <w:r w:rsidRPr="00FE283D">
        <w:rPr>
          <w:rFonts w:ascii="Arial" w:hAnsi="Arial" w:cs="Arial"/>
          <w:sz w:val="22"/>
          <w:szCs w:val="22"/>
        </w:rPr>
        <w:t xml:space="preserve">The </w:t>
      </w:r>
      <w:r w:rsidR="00CB5AE6" w:rsidRPr="00FE283D">
        <w:rPr>
          <w:rFonts w:ascii="Arial" w:hAnsi="Arial" w:cs="Arial"/>
          <w:sz w:val="22"/>
          <w:szCs w:val="22"/>
        </w:rPr>
        <w:t xml:space="preserve">SAE data entered in the study </w:t>
      </w:r>
      <w:proofErr w:type="gramStart"/>
      <w:r w:rsidR="00CB5AE6" w:rsidRPr="00FE283D">
        <w:rPr>
          <w:rFonts w:ascii="Arial" w:hAnsi="Arial" w:cs="Arial"/>
          <w:sz w:val="22"/>
          <w:szCs w:val="22"/>
        </w:rPr>
        <w:t>database</w:t>
      </w:r>
      <w:proofErr w:type="gramEnd"/>
      <w:r w:rsidR="00CB5AE6" w:rsidRPr="00FE283D">
        <w:rPr>
          <w:rFonts w:ascii="Arial" w:hAnsi="Arial" w:cs="Arial"/>
          <w:sz w:val="22"/>
          <w:szCs w:val="22"/>
        </w:rPr>
        <w:t xml:space="preserve"> </w:t>
      </w:r>
    </w:p>
    <w:p w14:paraId="17F274D7" w14:textId="77777777" w:rsidR="00921D07" w:rsidRPr="00FE283D" w:rsidRDefault="00921D07" w:rsidP="00921D07">
      <w:pPr>
        <w:ind w:left="360"/>
        <w:rPr>
          <w:rFonts w:ascii="Arial" w:hAnsi="Arial" w:cs="Arial"/>
          <w:sz w:val="22"/>
          <w:szCs w:val="22"/>
        </w:rPr>
      </w:pPr>
    </w:p>
    <w:p w14:paraId="1F8E1FA3" w14:textId="0A747D28" w:rsidR="00875C91" w:rsidRPr="00FE283D" w:rsidRDefault="009F37C6" w:rsidP="007B488A">
      <w:pPr>
        <w:rPr>
          <w:rFonts w:ascii="Arial" w:hAnsi="Arial" w:cs="Arial"/>
          <w:sz w:val="22"/>
          <w:szCs w:val="22"/>
        </w:rPr>
      </w:pPr>
      <w:r w:rsidRPr="00FE283D">
        <w:rPr>
          <w:rFonts w:ascii="Arial" w:hAnsi="Arial" w:cs="Arial"/>
          <w:sz w:val="22"/>
          <w:szCs w:val="22"/>
        </w:rPr>
        <w:t xml:space="preserve">The reports received at PV are tracked in a line listing system. </w:t>
      </w:r>
      <w:r w:rsidR="005E11B6" w:rsidRPr="00FE283D">
        <w:rPr>
          <w:rFonts w:ascii="Arial" w:hAnsi="Arial" w:cs="Arial"/>
          <w:sz w:val="22"/>
          <w:szCs w:val="22"/>
        </w:rPr>
        <w:t xml:space="preserve">This line listing </w:t>
      </w:r>
      <w:r w:rsidRPr="00FE283D">
        <w:rPr>
          <w:rFonts w:ascii="Arial" w:hAnsi="Arial" w:cs="Arial"/>
          <w:sz w:val="22"/>
          <w:szCs w:val="22"/>
        </w:rPr>
        <w:t>contains the essential information needed for identification and follow up of the SAE (Participant ID, diagnosis, start/stop date, outcome, …)</w:t>
      </w:r>
      <w:r w:rsidR="00E01055" w:rsidRPr="00FE283D">
        <w:rPr>
          <w:rFonts w:ascii="Arial" w:hAnsi="Arial" w:cs="Arial"/>
          <w:sz w:val="22"/>
          <w:szCs w:val="22"/>
        </w:rPr>
        <w:t xml:space="preserve"> and should also be reviewed for accuracy.</w:t>
      </w:r>
    </w:p>
    <w:p w14:paraId="7E5450C3" w14:textId="03AB50C4" w:rsidR="009F37C6" w:rsidRPr="00FE283D" w:rsidRDefault="009F37C6" w:rsidP="007B488A">
      <w:pPr>
        <w:rPr>
          <w:rFonts w:ascii="Arial" w:hAnsi="Arial" w:cs="Arial"/>
          <w:sz w:val="22"/>
          <w:szCs w:val="22"/>
        </w:rPr>
      </w:pPr>
    </w:p>
    <w:p w14:paraId="0F5DB6DA" w14:textId="07F030A9" w:rsidR="009F37C6" w:rsidRPr="00FE283D" w:rsidRDefault="009F37C6" w:rsidP="009F37C6">
      <w:pPr>
        <w:rPr>
          <w:rFonts w:ascii="Arial" w:hAnsi="Arial" w:cs="Arial"/>
          <w:sz w:val="22"/>
          <w:szCs w:val="22"/>
        </w:rPr>
      </w:pPr>
      <w:r w:rsidRPr="00FE283D">
        <w:rPr>
          <w:rFonts w:ascii="Arial" w:hAnsi="Arial" w:cs="Arial"/>
          <w:sz w:val="22"/>
          <w:szCs w:val="22"/>
        </w:rPr>
        <w:t>As described above this SOP details the procedure in which the SAEs are stored and tracked electronically. If SAE reports received at PV are manually entered in full in a separate safety database system, this dataflow should be added as it is a separate version of the data.</w:t>
      </w:r>
    </w:p>
    <w:p w14:paraId="35F7F4FE" w14:textId="4A852AF3" w:rsidR="007B488A" w:rsidRPr="00FE283D" w:rsidRDefault="009F37C6" w:rsidP="00666B59">
      <w:pPr>
        <w:rPr>
          <w:rFonts w:ascii="Arial" w:hAnsi="Arial" w:cs="Arial"/>
          <w:sz w:val="22"/>
          <w:szCs w:val="22"/>
        </w:rPr>
      </w:pPr>
      <w:r w:rsidRPr="00FE283D">
        <w:rPr>
          <w:rFonts w:ascii="Arial" w:hAnsi="Arial" w:cs="Arial"/>
          <w:sz w:val="22"/>
          <w:szCs w:val="22"/>
        </w:rPr>
        <w:t>This also means that</w:t>
      </w:r>
      <w:r w:rsidR="00C309A8" w:rsidRPr="00FE283D">
        <w:rPr>
          <w:rFonts w:ascii="Arial" w:hAnsi="Arial" w:cs="Arial"/>
          <w:sz w:val="22"/>
          <w:szCs w:val="22"/>
        </w:rPr>
        <w:t xml:space="preserve"> an</w:t>
      </w:r>
      <w:r w:rsidR="000A2B94" w:rsidRPr="00FE283D">
        <w:rPr>
          <w:rFonts w:ascii="Arial" w:hAnsi="Arial" w:cs="Arial"/>
          <w:sz w:val="22"/>
          <w:szCs w:val="22"/>
        </w:rPr>
        <w:t xml:space="preserve"> additional check should be performed to compare the reports received with the </w:t>
      </w:r>
      <w:r w:rsidR="003466B6" w:rsidRPr="00FE283D">
        <w:rPr>
          <w:rFonts w:ascii="Arial" w:hAnsi="Arial" w:cs="Arial"/>
          <w:sz w:val="22"/>
          <w:szCs w:val="22"/>
        </w:rPr>
        <w:t xml:space="preserve">separate </w:t>
      </w:r>
      <w:r w:rsidR="000A2B94" w:rsidRPr="00FE283D">
        <w:rPr>
          <w:rFonts w:ascii="Arial" w:hAnsi="Arial" w:cs="Arial"/>
          <w:sz w:val="22"/>
          <w:szCs w:val="22"/>
        </w:rPr>
        <w:t>safety database</w:t>
      </w:r>
      <w:r w:rsidR="003466B6" w:rsidRPr="00FE283D">
        <w:rPr>
          <w:rFonts w:ascii="Arial" w:hAnsi="Arial" w:cs="Arial"/>
          <w:sz w:val="22"/>
          <w:szCs w:val="22"/>
        </w:rPr>
        <w:t xml:space="preserve"> system</w:t>
      </w:r>
      <w:r w:rsidR="000A2B94" w:rsidRPr="00FE283D">
        <w:rPr>
          <w:rFonts w:ascii="Arial" w:hAnsi="Arial" w:cs="Arial"/>
          <w:sz w:val="22"/>
          <w:szCs w:val="22"/>
        </w:rPr>
        <w:t>.</w:t>
      </w:r>
    </w:p>
    <w:p w14:paraId="481531CE" w14:textId="7024975B" w:rsidR="005B7B56" w:rsidRPr="00FE283D" w:rsidRDefault="005B7B56" w:rsidP="00A87B23">
      <w:pPr>
        <w:rPr>
          <w:rFonts w:ascii="Arial" w:hAnsi="Arial" w:cs="Arial"/>
          <w:sz w:val="22"/>
          <w:szCs w:val="22"/>
        </w:rPr>
      </w:pPr>
    </w:p>
    <w:p w14:paraId="46CF7100" w14:textId="30F6B2C4" w:rsidR="005B7B56" w:rsidRPr="00FE283D" w:rsidRDefault="00651888" w:rsidP="00FE283D">
      <w:pPr>
        <w:pStyle w:val="ListParagraph"/>
        <w:numPr>
          <w:ilvl w:val="1"/>
          <w:numId w:val="21"/>
        </w:numPr>
        <w:rPr>
          <w:rFonts w:ascii="Arial" w:hAnsi="Arial" w:cs="Arial"/>
          <w:b/>
          <w:color w:val="365F91" w:themeColor="accent1" w:themeShade="BF"/>
          <w:sz w:val="22"/>
          <w:szCs w:val="22"/>
        </w:rPr>
      </w:pPr>
      <w:r w:rsidRPr="00FE283D">
        <w:rPr>
          <w:rFonts w:ascii="Arial" w:hAnsi="Arial" w:cs="Arial"/>
          <w:b/>
          <w:color w:val="365F91" w:themeColor="accent1" w:themeShade="BF"/>
          <w:sz w:val="22"/>
          <w:szCs w:val="22"/>
        </w:rPr>
        <w:t>Identify</w:t>
      </w:r>
      <w:r w:rsidR="005B7B56" w:rsidRPr="00FE283D">
        <w:rPr>
          <w:rFonts w:ascii="Arial" w:hAnsi="Arial" w:cs="Arial"/>
          <w:b/>
          <w:color w:val="365F91" w:themeColor="accent1" w:themeShade="BF"/>
          <w:sz w:val="22"/>
          <w:szCs w:val="22"/>
        </w:rPr>
        <w:t xml:space="preserve"> SAE</w:t>
      </w:r>
      <w:r w:rsidRPr="00FE283D">
        <w:rPr>
          <w:rFonts w:ascii="Arial" w:hAnsi="Arial" w:cs="Arial"/>
          <w:b/>
          <w:color w:val="365F91" w:themeColor="accent1" w:themeShade="BF"/>
          <w:sz w:val="22"/>
          <w:szCs w:val="22"/>
        </w:rPr>
        <w:t>s</w:t>
      </w:r>
    </w:p>
    <w:p w14:paraId="482E6249" w14:textId="678B3769" w:rsidR="00D47406" w:rsidRPr="00FE283D" w:rsidRDefault="00163E08" w:rsidP="00627406">
      <w:pPr>
        <w:pStyle w:val="ListParagraph"/>
        <w:numPr>
          <w:ilvl w:val="0"/>
          <w:numId w:val="18"/>
        </w:numPr>
        <w:rPr>
          <w:rFonts w:ascii="Arial" w:hAnsi="Arial" w:cs="Arial"/>
          <w:sz w:val="22"/>
          <w:szCs w:val="22"/>
        </w:rPr>
      </w:pPr>
      <w:r w:rsidRPr="00FE283D">
        <w:rPr>
          <w:rFonts w:ascii="Arial" w:hAnsi="Arial" w:cs="Arial"/>
          <w:sz w:val="22"/>
          <w:szCs w:val="22"/>
        </w:rPr>
        <w:t xml:space="preserve">Create a list of SAEs in the study </w:t>
      </w:r>
      <w:proofErr w:type="gramStart"/>
      <w:r w:rsidRPr="00FE283D">
        <w:rPr>
          <w:rFonts w:ascii="Arial" w:hAnsi="Arial" w:cs="Arial"/>
          <w:sz w:val="22"/>
          <w:szCs w:val="22"/>
        </w:rPr>
        <w:t>database</w:t>
      </w:r>
      <w:proofErr w:type="gramEnd"/>
    </w:p>
    <w:p w14:paraId="62D994BA" w14:textId="62971AF7" w:rsidR="00163E08" w:rsidRPr="00FE283D" w:rsidRDefault="00163E08" w:rsidP="00627406">
      <w:pPr>
        <w:pStyle w:val="ListParagraph"/>
        <w:numPr>
          <w:ilvl w:val="0"/>
          <w:numId w:val="18"/>
        </w:numPr>
        <w:rPr>
          <w:rFonts w:ascii="Arial" w:hAnsi="Arial" w:cs="Arial"/>
          <w:sz w:val="22"/>
          <w:szCs w:val="22"/>
        </w:rPr>
      </w:pPr>
      <w:r w:rsidRPr="00FE283D">
        <w:rPr>
          <w:rFonts w:ascii="Arial" w:hAnsi="Arial" w:cs="Arial"/>
          <w:sz w:val="22"/>
          <w:szCs w:val="22"/>
        </w:rPr>
        <w:t>Create a list of SAEs</w:t>
      </w:r>
      <w:r w:rsidR="001F015D" w:rsidRPr="00FE283D">
        <w:rPr>
          <w:rFonts w:ascii="Arial" w:hAnsi="Arial" w:cs="Arial"/>
          <w:sz w:val="22"/>
          <w:szCs w:val="22"/>
        </w:rPr>
        <w:t xml:space="preserve"> in the </w:t>
      </w:r>
      <w:r w:rsidR="00C449A0" w:rsidRPr="00FE283D">
        <w:rPr>
          <w:rFonts w:ascii="Arial" w:hAnsi="Arial" w:cs="Arial"/>
          <w:sz w:val="22"/>
          <w:szCs w:val="22"/>
        </w:rPr>
        <w:t xml:space="preserve">pharmacovigilance </w:t>
      </w:r>
      <w:proofErr w:type="gramStart"/>
      <w:r w:rsidR="00C449A0" w:rsidRPr="00FE283D">
        <w:rPr>
          <w:rFonts w:ascii="Arial" w:hAnsi="Arial" w:cs="Arial"/>
          <w:sz w:val="22"/>
          <w:szCs w:val="22"/>
        </w:rPr>
        <w:t>system</w:t>
      </w:r>
      <w:proofErr w:type="gramEnd"/>
    </w:p>
    <w:p w14:paraId="59F26A78" w14:textId="774F158D" w:rsidR="002A3754" w:rsidRDefault="002A3754" w:rsidP="002A3754">
      <w:pPr>
        <w:pStyle w:val="ListParagraph"/>
        <w:rPr>
          <w:rFonts w:ascii="Arial" w:hAnsi="Arial" w:cs="Arial"/>
        </w:rPr>
      </w:pPr>
    </w:p>
    <w:p w14:paraId="2FFABDA2" w14:textId="1FFC4BF8" w:rsidR="00B07A9C" w:rsidRPr="00FE283D" w:rsidRDefault="00B07A9C" w:rsidP="002A3754">
      <w:pPr>
        <w:pStyle w:val="ListParagraph"/>
        <w:rPr>
          <w:rFonts w:ascii="Arial" w:hAnsi="Arial" w:cs="Arial"/>
          <w:sz w:val="22"/>
          <w:szCs w:val="22"/>
        </w:rPr>
      </w:pPr>
      <w:r w:rsidRPr="00FE283D">
        <w:rPr>
          <w:rFonts w:ascii="Arial" w:hAnsi="Arial" w:cs="Arial"/>
          <w:sz w:val="22"/>
          <w:szCs w:val="22"/>
        </w:rPr>
        <w:t>Compare the two lists</w:t>
      </w:r>
      <w:r w:rsidR="00593C79" w:rsidRPr="00FE283D">
        <w:rPr>
          <w:rFonts w:ascii="Arial" w:hAnsi="Arial" w:cs="Arial"/>
          <w:sz w:val="22"/>
          <w:szCs w:val="22"/>
        </w:rPr>
        <w:t xml:space="preserve"> and query</w:t>
      </w:r>
      <w:r w:rsidR="0072754B" w:rsidRPr="00FE283D">
        <w:rPr>
          <w:rFonts w:ascii="Arial" w:hAnsi="Arial" w:cs="Arial"/>
          <w:sz w:val="22"/>
          <w:szCs w:val="22"/>
        </w:rPr>
        <w:t>:</w:t>
      </w:r>
    </w:p>
    <w:p w14:paraId="406E4064" w14:textId="5DB3D16D" w:rsidR="00BC596F" w:rsidRPr="00FE283D" w:rsidRDefault="00593C79" w:rsidP="00BC596F">
      <w:pPr>
        <w:pStyle w:val="ListParagraph"/>
        <w:rPr>
          <w:rFonts w:ascii="Arial" w:hAnsi="Arial" w:cs="Arial"/>
          <w:sz w:val="22"/>
          <w:szCs w:val="22"/>
        </w:rPr>
      </w:pPr>
      <w:r w:rsidRPr="00FE283D">
        <w:rPr>
          <w:rFonts w:ascii="Arial" w:hAnsi="Arial" w:cs="Arial"/>
          <w:sz w:val="22"/>
          <w:szCs w:val="22"/>
        </w:rPr>
        <w:tab/>
      </w:r>
      <w:r w:rsidR="00BC596F" w:rsidRPr="00FE283D">
        <w:rPr>
          <w:rFonts w:ascii="Arial" w:hAnsi="Arial" w:cs="Arial"/>
          <w:color w:val="000000"/>
          <w:sz w:val="22"/>
          <w:szCs w:val="22"/>
        </w:rPr>
        <w:t xml:space="preserve">- </w:t>
      </w:r>
      <w:r w:rsidR="00BC596F" w:rsidRPr="00FE283D">
        <w:rPr>
          <w:rFonts w:ascii="Arial" w:hAnsi="Arial" w:cs="Arial"/>
          <w:sz w:val="22"/>
          <w:szCs w:val="22"/>
        </w:rPr>
        <w:t xml:space="preserve">SAE’s that exist in the study database </w:t>
      </w:r>
      <w:r w:rsidR="009A4B16" w:rsidRPr="00FE283D">
        <w:rPr>
          <w:rFonts w:ascii="Arial" w:hAnsi="Arial" w:cs="Arial"/>
          <w:sz w:val="22"/>
          <w:szCs w:val="22"/>
        </w:rPr>
        <w:t>but</w:t>
      </w:r>
      <w:r w:rsidR="00BC596F" w:rsidRPr="00FE283D">
        <w:rPr>
          <w:rFonts w:ascii="Arial" w:hAnsi="Arial" w:cs="Arial"/>
          <w:sz w:val="22"/>
          <w:szCs w:val="22"/>
        </w:rPr>
        <w:t xml:space="preserve"> not in the PV system</w:t>
      </w:r>
    </w:p>
    <w:p w14:paraId="60A9053B" w14:textId="2ACE42EE" w:rsidR="00BC596F" w:rsidRPr="00FE283D" w:rsidRDefault="00BC596F" w:rsidP="00BC596F">
      <w:pPr>
        <w:pStyle w:val="ListParagraph"/>
        <w:rPr>
          <w:rFonts w:ascii="Arial" w:hAnsi="Arial" w:cs="Arial"/>
          <w:sz w:val="22"/>
          <w:szCs w:val="22"/>
        </w:rPr>
      </w:pPr>
      <w:r w:rsidRPr="00FE283D">
        <w:rPr>
          <w:rFonts w:ascii="Arial" w:hAnsi="Arial" w:cs="Arial"/>
          <w:sz w:val="22"/>
          <w:szCs w:val="22"/>
        </w:rPr>
        <w:tab/>
        <w:t xml:space="preserve">- SAE’s that exist in the PV system </w:t>
      </w:r>
      <w:r w:rsidR="0097271B" w:rsidRPr="00FE283D">
        <w:rPr>
          <w:rFonts w:ascii="Arial" w:hAnsi="Arial" w:cs="Arial"/>
          <w:sz w:val="22"/>
          <w:szCs w:val="22"/>
        </w:rPr>
        <w:t>but</w:t>
      </w:r>
      <w:r w:rsidRPr="00FE283D">
        <w:rPr>
          <w:rFonts w:ascii="Arial" w:hAnsi="Arial" w:cs="Arial"/>
          <w:sz w:val="22"/>
          <w:szCs w:val="22"/>
        </w:rPr>
        <w:t xml:space="preserve"> not in the study database</w:t>
      </w:r>
    </w:p>
    <w:p w14:paraId="3E67BDF2" w14:textId="5FDF7642" w:rsidR="00593C79" w:rsidRPr="00FE283D" w:rsidRDefault="00593C79" w:rsidP="002A3754">
      <w:pPr>
        <w:pStyle w:val="ListParagraph"/>
        <w:rPr>
          <w:rFonts w:ascii="Arial" w:hAnsi="Arial" w:cs="Arial"/>
          <w:sz w:val="22"/>
          <w:szCs w:val="22"/>
        </w:rPr>
      </w:pPr>
      <w:r w:rsidRPr="00FE283D">
        <w:rPr>
          <w:rFonts w:ascii="Arial" w:hAnsi="Arial" w:cs="Arial"/>
          <w:sz w:val="22"/>
          <w:szCs w:val="22"/>
        </w:rPr>
        <w:t xml:space="preserve"> </w:t>
      </w:r>
    </w:p>
    <w:p w14:paraId="1AC8BBE3" w14:textId="784B3C21" w:rsidR="00957972" w:rsidRDefault="00957972" w:rsidP="00666B59">
      <w:pPr>
        <w:rPr>
          <w:rFonts w:ascii="Arial" w:hAnsi="Arial" w:cs="Arial"/>
          <w:sz w:val="22"/>
          <w:szCs w:val="22"/>
        </w:rPr>
      </w:pPr>
      <w:r w:rsidRPr="00FE283D">
        <w:rPr>
          <w:rFonts w:ascii="Arial" w:hAnsi="Arial" w:cs="Arial"/>
          <w:sz w:val="22"/>
          <w:szCs w:val="22"/>
        </w:rPr>
        <w:t>The number of SAEs should be the same in the two systems</w:t>
      </w:r>
      <w:r w:rsidR="00F65FCF" w:rsidRPr="00FE283D">
        <w:rPr>
          <w:rFonts w:ascii="Arial" w:hAnsi="Arial" w:cs="Arial"/>
          <w:sz w:val="22"/>
          <w:szCs w:val="22"/>
        </w:rPr>
        <w:t>.</w:t>
      </w:r>
    </w:p>
    <w:p w14:paraId="794EA96F" w14:textId="77777777" w:rsidR="00EB38F3" w:rsidRPr="00FE283D" w:rsidRDefault="00EB38F3" w:rsidP="00666B59">
      <w:pPr>
        <w:rPr>
          <w:rFonts w:ascii="Arial" w:hAnsi="Arial" w:cs="Arial"/>
          <w:sz w:val="22"/>
          <w:szCs w:val="22"/>
        </w:rPr>
      </w:pPr>
    </w:p>
    <w:p w14:paraId="02A578ED" w14:textId="4D5F8481" w:rsidR="00D47406" w:rsidRPr="00FE283D" w:rsidRDefault="00D47406" w:rsidP="00FE283D">
      <w:pPr>
        <w:pStyle w:val="ListParagraph"/>
        <w:numPr>
          <w:ilvl w:val="1"/>
          <w:numId w:val="21"/>
        </w:numPr>
        <w:rPr>
          <w:rFonts w:ascii="Arial" w:hAnsi="Arial" w:cs="Arial"/>
          <w:b/>
          <w:color w:val="365F91" w:themeColor="accent1" w:themeShade="BF"/>
          <w:sz w:val="22"/>
          <w:szCs w:val="22"/>
        </w:rPr>
      </w:pPr>
      <w:r w:rsidRPr="00FE283D">
        <w:rPr>
          <w:rFonts w:ascii="Arial" w:hAnsi="Arial" w:cs="Arial"/>
          <w:b/>
          <w:color w:val="365F91" w:themeColor="accent1" w:themeShade="BF"/>
          <w:sz w:val="22"/>
          <w:szCs w:val="22"/>
        </w:rPr>
        <w:lastRenderedPageBreak/>
        <w:t xml:space="preserve">Compare </w:t>
      </w:r>
      <w:proofErr w:type="gramStart"/>
      <w:r w:rsidRPr="00FE283D">
        <w:rPr>
          <w:rFonts w:ascii="Arial" w:hAnsi="Arial" w:cs="Arial"/>
          <w:b/>
          <w:color w:val="365F91" w:themeColor="accent1" w:themeShade="BF"/>
          <w:sz w:val="22"/>
          <w:szCs w:val="22"/>
        </w:rPr>
        <w:t>variables</w:t>
      </w:r>
      <w:proofErr w:type="gramEnd"/>
    </w:p>
    <w:p w14:paraId="5214609C" w14:textId="4BB7EBBC" w:rsidR="0073231A" w:rsidRPr="00FE283D" w:rsidRDefault="0073231A" w:rsidP="0073231A">
      <w:pPr>
        <w:rPr>
          <w:rFonts w:ascii="Arial" w:hAnsi="Arial" w:cs="Arial"/>
          <w:sz w:val="22"/>
          <w:szCs w:val="22"/>
        </w:rPr>
      </w:pPr>
      <w:r w:rsidRPr="00FE283D">
        <w:rPr>
          <w:rFonts w:ascii="Arial" w:hAnsi="Arial" w:cs="Arial"/>
          <w:sz w:val="22"/>
          <w:szCs w:val="22"/>
        </w:rPr>
        <w:t>Based on the SAE report, make a list of key variables which need to be validated</w:t>
      </w:r>
    </w:p>
    <w:p w14:paraId="240910CE" w14:textId="6E999467" w:rsidR="00612C21" w:rsidRPr="00FE283D" w:rsidRDefault="00612C21" w:rsidP="00612C21">
      <w:pPr>
        <w:pStyle w:val="ListParagraph"/>
        <w:numPr>
          <w:ilvl w:val="0"/>
          <w:numId w:val="12"/>
        </w:numPr>
        <w:rPr>
          <w:rFonts w:ascii="Arial" w:hAnsi="Arial" w:cs="Arial"/>
          <w:sz w:val="22"/>
          <w:szCs w:val="22"/>
        </w:rPr>
      </w:pPr>
      <w:r w:rsidRPr="00FE283D">
        <w:rPr>
          <w:rFonts w:ascii="Arial" w:hAnsi="Arial" w:cs="Arial"/>
          <w:sz w:val="22"/>
          <w:szCs w:val="22"/>
        </w:rPr>
        <w:t xml:space="preserve">Define </w:t>
      </w:r>
      <w:r w:rsidR="00FD44C3" w:rsidRPr="00FE283D">
        <w:rPr>
          <w:rFonts w:ascii="Arial" w:hAnsi="Arial" w:cs="Arial"/>
          <w:sz w:val="22"/>
          <w:szCs w:val="22"/>
        </w:rPr>
        <w:t>the match criteria</w:t>
      </w:r>
      <w:r w:rsidR="00A2350B" w:rsidRPr="00FE283D">
        <w:rPr>
          <w:rFonts w:ascii="Arial" w:hAnsi="Arial" w:cs="Arial"/>
          <w:sz w:val="22"/>
          <w:szCs w:val="22"/>
        </w:rPr>
        <w:t xml:space="preserve"> for these </w:t>
      </w:r>
      <w:proofErr w:type="gramStart"/>
      <w:r w:rsidR="00A2350B" w:rsidRPr="00FE283D">
        <w:rPr>
          <w:rFonts w:ascii="Arial" w:hAnsi="Arial" w:cs="Arial"/>
          <w:sz w:val="22"/>
          <w:szCs w:val="22"/>
        </w:rPr>
        <w:t>variables</w:t>
      </w:r>
      <w:proofErr w:type="gramEnd"/>
    </w:p>
    <w:p w14:paraId="14DF3559" w14:textId="655AF24D" w:rsidR="001910CE" w:rsidRPr="00FE283D" w:rsidRDefault="001910CE" w:rsidP="001910CE">
      <w:pPr>
        <w:pStyle w:val="ListParagraph"/>
        <w:numPr>
          <w:ilvl w:val="1"/>
          <w:numId w:val="12"/>
        </w:numPr>
        <w:rPr>
          <w:rFonts w:ascii="Arial" w:hAnsi="Arial" w:cs="Arial"/>
          <w:sz w:val="22"/>
          <w:szCs w:val="22"/>
        </w:rPr>
      </w:pPr>
      <w:r w:rsidRPr="00FE283D">
        <w:rPr>
          <w:rFonts w:ascii="Arial" w:hAnsi="Arial" w:cs="Arial"/>
          <w:sz w:val="22"/>
          <w:szCs w:val="22"/>
        </w:rPr>
        <w:t xml:space="preserve">An exact match for outcomes, dates, </w:t>
      </w:r>
      <w:r w:rsidR="00975CFE" w:rsidRPr="00FE283D">
        <w:rPr>
          <w:rFonts w:ascii="Arial" w:hAnsi="Arial" w:cs="Arial"/>
          <w:sz w:val="22"/>
          <w:szCs w:val="22"/>
        </w:rPr>
        <w:t>etc.</w:t>
      </w:r>
    </w:p>
    <w:p w14:paraId="0E92825B" w14:textId="2A723175" w:rsidR="0003344E" w:rsidRPr="00FE283D" w:rsidRDefault="0003344E" w:rsidP="001910CE">
      <w:pPr>
        <w:pStyle w:val="ListParagraph"/>
        <w:numPr>
          <w:ilvl w:val="1"/>
          <w:numId w:val="12"/>
        </w:numPr>
        <w:rPr>
          <w:rFonts w:ascii="Arial" w:hAnsi="Arial" w:cs="Arial"/>
          <w:sz w:val="22"/>
          <w:szCs w:val="22"/>
        </w:rPr>
      </w:pPr>
      <w:r w:rsidRPr="00FE283D">
        <w:rPr>
          <w:rFonts w:ascii="Arial" w:hAnsi="Arial" w:cs="Arial"/>
          <w:sz w:val="22"/>
          <w:szCs w:val="22"/>
        </w:rPr>
        <w:t xml:space="preserve">Consistent matches for free text, </w:t>
      </w:r>
      <w:r w:rsidR="00975CFE" w:rsidRPr="00FE283D">
        <w:rPr>
          <w:rFonts w:ascii="Arial" w:hAnsi="Arial" w:cs="Arial"/>
          <w:sz w:val="22"/>
          <w:szCs w:val="22"/>
        </w:rPr>
        <w:t>etc.</w:t>
      </w:r>
    </w:p>
    <w:p w14:paraId="072B644E" w14:textId="54E7AD5A" w:rsidR="0003344E" w:rsidRPr="00FE283D" w:rsidRDefault="0003344E" w:rsidP="001910CE">
      <w:pPr>
        <w:pStyle w:val="ListParagraph"/>
        <w:numPr>
          <w:ilvl w:val="1"/>
          <w:numId w:val="12"/>
        </w:numPr>
        <w:rPr>
          <w:rFonts w:ascii="Arial" w:hAnsi="Arial" w:cs="Arial"/>
          <w:sz w:val="22"/>
          <w:szCs w:val="22"/>
        </w:rPr>
      </w:pPr>
      <w:r w:rsidRPr="00FE283D">
        <w:rPr>
          <w:rFonts w:ascii="Arial" w:hAnsi="Arial" w:cs="Arial"/>
          <w:sz w:val="22"/>
          <w:szCs w:val="22"/>
        </w:rPr>
        <w:t>All drugs on the SAE report sh</w:t>
      </w:r>
      <w:r w:rsidR="00A33B13" w:rsidRPr="00FE283D">
        <w:rPr>
          <w:rFonts w:ascii="Arial" w:hAnsi="Arial" w:cs="Arial"/>
          <w:sz w:val="22"/>
          <w:szCs w:val="22"/>
        </w:rPr>
        <w:t>o</w:t>
      </w:r>
      <w:r w:rsidRPr="00FE283D">
        <w:rPr>
          <w:rFonts w:ascii="Arial" w:hAnsi="Arial" w:cs="Arial"/>
          <w:sz w:val="22"/>
          <w:szCs w:val="22"/>
        </w:rPr>
        <w:t>uld be</w:t>
      </w:r>
      <w:r w:rsidR="00A33B13" w:rsidRPr="00FE283D">
        <w:rPr>
          <w:rFonts w:ascii="Arial" w:hAnsi="Arial" w:cs="Arial"/>
          <w:sz w:val="22"/>
          <w:szCs w:val="22"/>
        </w:rPr>
        <w:t xml:space="preserve"> in the study database</w:t>
      </w:r>
      <w:r w:rsidR="002504A7" w:rsidRPr="00FE283D">
        <w:rPr>
          <w:rFonts w:ascii="Arial" w:hAnsi="Arial" w:cs="Arial"/>
          <w:sz w:val="22"/>
          <w:szCs w:val="22"/>
        </w:rPr>
        <w:t xml:space="preserve"> but not the other way around. </w:t>
      </w:r>
      <w:r w:rsidRPr="00FE283D">
        <w:rPr>
          <w:rFonts w:ascii="Arial" w:hAnsi="Arial" w:cs="Arial"/>
          <w:sz w:val="22"/>
          <w:szCs w:val="22"/>
        </w:rPr>
        <w:t xml:space="preserve"> </w:t>
      </w:r>
    </w:p>
    <w:p w14:paraId="288C22AC" w14:textId="341079E3" w:rsidR="002504A7" w:rsidRPr="00FE283D" w:rsidRDefault="002504A7" w:rsidP="002504A7">
      <w:pPr>
        <w:pStyle w:val="ListParagraph"/>
        <w:numPr>
          <w:ilvl w:val="0"/>
          <w:numId w:val="12"/>
        </w:numPr>
        <w:rPr>
          <w:rFonts w:ascii="Arial" w:hAnsi="Arial" w:cs="Arial"/>
          <w:sz w:val="22"/>
          <w:szCs w:val="22"/>
        </w:rPr>
      </w:pPr>
      <w:r w:rsidRPr="00FE283D">
        <w:rPr>
          <w:rFonts w:ascii="Arial" w:hAnsi="Arial" w:cs="Arial"/>
          <w:sz w:val="22"/>
          <w:szCs w:val="22"/>
        </w:rPr>
        <w:t xml:space="preserve">Cross check the variables between the </w:t>
      </w:r>
      <w:r w:rsidR="00B812AD" w:rsidRPr="00FE283D">
        <w:rPr>
          <w:rFonts w:ascii="Arial" w:hAnsi="Arial" w:cs="Arial"/>
          <w:sz w:val="22"/>
          <w:szCs w:val="22"/>
        </w:rPr>
        <w:t>reports and the study database</w:t>
      </w:r>
    </w:p>
    <w:p w14:paraId="57115AD7" w14:textId="3A470896" w:rsidR="00196E3F" w:rsidRPr="00FE283D" w:rsidRDefault="00B812AD" w:rsidP="00B812AD">
      <w:pPr>
        <w:pStyle w:val="ListParagraph"/>
        <w:numPr>
          <w:ilvl w:val="1"/>
          <w:numId w:val="12"/>
        </w:numPr>
        <w:rPr>
          <w:rFonts w:ascii="Arial" w:hAnsi="Arial" w:cs="Arial"/>
          <w:sz w:val="22"/>
          <w:szCs w:val="22"/>
        </w:rPr>
      </w:pPr>
      <w:r w:rsidRPr="00FE283D">
        <w:rPr>
          <w:rFonts w:ascii="Arial" w:hAnsi="Arial" w:cs="Arial"/>
          <w:sz w:val="22"/>
          <w:szCs w:val="22"/>
        </w:rPr>
        <w:t xml:space="preserve">Checks should be done in a systematic and transparent </w:t>
      </w:r>
      <w:proofErr w:type="gramStart"/>
      <w:r w:rsidRPr="00FE283D">
        <w:rPr>
          <w:rFonts w:ascii="Arial" w:hAnsi="Arial" w:cs="Arial"/>
          <w:sz w:val="22"/>
          <w:szCs w:val="22"/>
        </w:rPr>
        <w:t>way</w:t>
      </w:r>
      <w:proofErr w:type="gramEnd"/>
    </w:p>
    <w:p w14:paraId="136EF466" w14:textId="4FD6C9A3" w:rsidR="00B812AD" w:rsidRPr="00FE283D" w:rsidRDefault="00B812AD">
      <w:pPr>
        <w:pStyle w:val="ListParagraph"/>
        <w:numPr>
          <w:ilvl w:val="1"/>
          <w:numId w:val="12"/>
        </w:numPr>
        <w:rPr>
          <w:rFonts w:ascii="Arial" w:hAnsi="Arial" w:cs="Arial"/>
          <w:sz w:val="22"/>
          <w:szCs w:val="22"/>
        </w:rPr>
      </w:pPr>
      <w:r w:rsidRPr="00FE283D">
        <w:rPr>
          <w:rFonts w:ascii="Arial" w:hAnsi="Arial" w:cs="Arial"/>
          <w:sz w:val="22"/>
          <w:szCs w:val="22"/>
        </w:rPr>
        <w:t xml:space="preserve">Use a </w:t>
      </w:r>
      <w:r w:rsidR="00171E2A" w:rsidRPr="00FE283D">
        <w:rPr>
          <w:rFonts w:ascii="Arial" w:hAnsi="Arial" w:cs="Arial"/>
          <w:sz w:val="22"/>
          <w:szCs w:val="22"/>
        </w:rPr>
        <w:t>SAE Reconciliation C</w:t>
      </w:r>
      <w:r w:rsidRPr="00FE283D">
        <w:rPr>
          <w:rFonts w:ascii="Arial" w:hAnsi="Arial" w:cs="Arial"/>
          <w:sz w:val="22"/>
          <w:szCs w:val="22"/>
        </w:rPr>
        <w:t xml:space="preserve">hecklist </w:t>
      </w:r>
      <w:r w:rsidR="00196E3F" w:rsidRPr="00FE283D">
        <w:rPr>
          <w:rFonts w:ascii="Arial" w:hAnsi="Arial" w:cs="Arial"/>
          <w:sz w:val="22"/>
          <w:szCs w:val="22"/>
        </w:rPr>
        <w:t>(see attachment 01)</w:t>
      </w:r>
      <w:r w:rsidR="00196E3F">
        <w:rPr>
          <w:rFonts w:ascii="Arial" w:hAnsi="Arial" w:cs="Arial"/>
          <w:sz w:val="22"/>
          <w:szCs w:val="22"/>
        </w:rPr>
        <w:t xml:space="preserve"> </w:t>
      </w:r>
      <w:r w:rsidRPr="00FE283D">
        <w:rPr>
          <w:rFonts w:ascii="Arial" w:hAnsi="Arial" w:cs="Arial"/>
          <w:sz w:val="22"/>
          <w:szCs w:val="22"/>
        </w:rPr>
        <w:t xml:space="preserve">to document </w:t>
      </w:r>
      <w:r w:rsidR="004168DB" w:rsidRPr="00FE283D">
        <w:rPr>
          <w:rFonts w:ascii="Arial" w:hAnsi="Arial" w:cs="Arial"/>
          <w:sz w:val="22"/>
          <w:szCs w:val="22"/>
        </w:rPr>
        <w:t xml:space="preserve">and standardize </w:t>
      </w:r>
      <w:r w:rsidRPr="00FE283D">
        <w:rPr>
          <w:rFonts w:ascii="Arial" w:hAnsi="Arial" w:cs="Arial"/>
          <w:sz w:val="22"/>
          <w:szCs w:val="22"/>
        </w:rPr>
        <w:t xml:space="preserve">the </w:t>
      </w:r>
      <w:proofErr w:type="gramStart"/>
      <w:r w:rsidRPr="00FE283D">
        <w:rPr>
          <w:rFonts w:ascii="Arial" w:hAnsi="Arial" w:cs="Arial"/>
          <w:sz w:val="22"/>
          <w:szCs w:val="22"/>
        </w:rPr>
        <w:t>checks</w:t>
      </w:r>
      <w:proofErr w:type="gramEnd"/>
      <w:r w:rsidRPr="00FE283D">
        <w:rPr>
          <w:rFonts w:ascii="Arial" w:hAnsi="Arial" w:cs="Arial"/>
          <w:sz w:val="22"/>
          <w:szCs w:val="22"/>
        </w:rPr>
        <w:t xml:space="preserve"> </w:t>
      </w:r>
    </w:p>
    <w:p w14:paraId="43EA3633" w14:textId="2744E0F0" w:rsidR="00921290" w:rsidRPr="00FE283D" w:rsidRDefault="00921290" w:rsidP="00B812AD">
      <w:pPr>
        <w:pStyle w:val="ListParagraph"/>
        <w:numPr>
          <w:ilvl w:val="1"/>
          <w:numId w:val="12"/>
        </w:numPr>
        <w:rPr>
          <w:rFonts w:ascii="Arial" w:hAnsi="Arial" w:cs="Arial"/>
          <w:sz w:val="22"/>
          <w:szCs w:val="22"/>
        </w:rPr>
      </w:pPr>
      <w:r w:rsidRPr="00FE283D">
        <w:rPr>
          <w:rFonts w:ascii="Arial" w:hAnsi="Arial" w:cs="Arial"/>
          <w:sz w:val="22"/>
          <w:szCs w:val="22"/>
        </w:rPr>
        <w:t xml:space="preserve">Any inconsistencies should be queried to the site </w:t>
      </w:r>
      <w:r w:rsidR="004E4878" w:rsidRPr="00FE283D">
        <w:rPr>
          <w:rFonts w:ascii="Arial" w:hAnsi="Arial" w:cs="Arial"/>
          <w:sz w:val="22"/>
          <w:szCs w:val="22"/>
        </w:rPr>
        <w:t xml:space="preserve">or </w:t>
      </w:r>
      <w:proofErr w:type="gramStart"/>
      <w:r w:rsidR="004E4878" w:rsidRPr="00FE283D">
        <w:rPr>
          <w:rFonts w:ascii="Arial" w:hAnsi="Arial" w:cs="Arial"/>
          <w:sz w:val="22"/>
          <w:szCs w:val="22"/>
        </w:rPr>
        <w:t>investigator</w:t>
      </w:r>
      <w:proofErr w:type="gramEnd"/>
      <w:r w:rsidRPr="00FE283D">
        <w:rPr>
          <w:rFonts w:ascii="Arial" w:hAnsi="Arial" w:cs="Arial"/>
          <w:sz w:val="22"/>
          <w:szCs w:val="22"/>
        </w:rPr>
        <w:t xml:space="preserve"> </w:t>
      </w:r>
    </w:p>
    <w:p w14:paraId="53FD8951" w14:textId="77777777" w:rsidR="004168DB" w:rsidRPr="00FE283D" w:rsidRDefault="004168DB" w:rsidP="000E02CA">
      <w:pPr>
        <w:pStyle w:val="ListParagraph"/>
        <w:ind w:left="1440"/>
        <w:rPr>
          <w:rFonts w:ascii="Arial" w:hAnsi="Arial" w:cs="Arial"/>
          <w:sz w:val="22"/>
          <w:szCs w:val="22"/>
        </w:rPr>
      </w:pPr>
    </w:p>
    <w:p w14:paraId="790EA123" w14:textId="50EE2354" w:rsidR="00EC50F7" w:rsidRPr="00FE283D" w:rsidRDefault="00EC50F7" w:rsidP="00FE283D">
      <w:pPr>
        <w:pStyle w:val="ListParagraph"/>
        <w:numPr>
          <w:ilvl w:val="1"/>
          <w:numId w:val="21"/>
        </w:numPr>
        <w:rPr>
          <w:rFonts w:ascii="Arial" w:hAnsi="Arial" w:cs="Arial"/>
          <w:b/>
          <w:color w:val="365F91" w:themeColor="accent1" w:themeShade="BF"/>
          <w:sz w:val="22"/>
          <w:szCs w:val="22"/>
        </w:rPr>
      </w:pPr>
      <w:r w:rsidRPr="00FE283D">
        <w:rPr>
          <w:rFonts w:ascii="Arial" w:hAnsi="Arial" w:cs="Arial"/>
          <w:b/>
          <w:color w:val="365F91" w:themeColor="accent1" w:themeShade="BF"/>
          <w:sz w:val="22"/>
          <w:szCs w:val="22"/>
        </w:rPr>
        <w:t xml:space="preserve">Finalizing the </w:t>
      </w:r>
      <w:r w:rsidR="000F2702" w:rsidRPr="00FE283D">
        <w:rPr>
          <w:rFonts w:ascii="Arial" w:hAnsi="Arial" w:cs="Arial"/>
          <w:b/>
          <w:color w:val="365F91" w:themeColor="accent1" w:themeShade="BF"/>
          <w:sz w:val="22"/>
          <w:szCs w:val="22"/>
        </w:rPr>
        <w:t xml:space="preserve">SAE </w:t>
      </w:r>
      <w:r w:rsidRPr="00FE283D">
        <w:rPr>
          <w:rFonts w:ascii="Arial" w:hAnsi="Arial" w:cs="Arial"/>
          <w:b/>
          <w:color w:val="365F91" w:themeColor="accent1" w:themeShade="BF"/>
          <w:sz w:val="22"/>
          <w:szCs w:val="22"/>
        </w:rPr>
        <w:t xml:space="preserve">reconciliation </w:t>
      </w:r>
    </w:p>
    <w:p w14:paraId="1FCB07C5" w14:textId="304A50EF" w:rsidR="00EC50F7" w:rsidRPr="00FE283D" w:rsidRDefault="00017ED6" w:rsidP="00836E47">
      <w:pPr>
        <w:rPr>
          <w:rFonts w:ascii="Arial" w:hAnsi="Arial" w:cs="Arial"/>
          <w:sz w:val="22"/>
          <w:szCs w:val="22"/>
        </w:rPr>
      </w:pPr>
      <w:r w:rsidRPr="00FE283D">
        <w:rPr>
          <w:rFonts w:ascii="Arial" w:hAnsi="Arial" w:cs="Arial"/>
          <w:sz w:val="22"/>
          <w:szCs w:val="22"/>
        </w:rPr>
        <w:t>Once the S</w:t>
      </w:r>
      <w:r w:rsidR="00DF5DC0" w:rsidRPr="00FE283D">
        <w:rPr>
          <w:rFonts w:ascii="Arial" w:hAnsi="Arial" w:cs="Arial"/>
          <w:sz w:val="22"/>
          <w:szCs w:val="22"/>
        </w:rPr>
        <w:t>AE is closed</w:t>
      </w:r>
      <w:r w:rsidR="0006774C" w:rsidRPr="00FE283D">
        <w:rPr>
          <w:rFonts w:ascii="Arial" w:hAnsi="Arial" w:cs="Arial"/>
          <w:sz w:val="22"/>
          <w:szCs w:val="22"/>
        </w:rPr>
        <w:t xml:space="preserve"> the final reconciliation check should be done</w:t>
      </w:r>
      <w:r w:rsidR="008238D0" w:rsidRPr="00FE283D">
        <w:rPr>
          <w:rFonts w:ascii="Arial" w:hAnsi="Arial" w:cs="Arial"/>
          <w:sz w:val="22"/>
          <w:szCs w:val="22"/>
        </w:rPr>
        <w:t xml:space="preserve">. This should be clearly documented on the </w:t>
      </w:r>
      <w:proofErr w:type="gramStart"/>
      <w:r w:rsidR="008238D0" w:rsidRPr="00FE283D">
        <w:rPr>
          <w:rFonts w:ascii="Arial" w:hAnsi="Arial" w:cs="Arial"/>
          <w:sz w:val="22"/>
          <w:szCs w:val="22"/>
        </w:rPr>
        <w:t>checklist</w:t>
      </w:r>
      <w:r w:rsidR="00640C3F">
        <w:rPr>
          <w:rFonts w:ascii="Arial" w:hAnsi="Arial" w:cs="Arial"/>
          <w:sz w:val="22"/>
          <w:szCs w:val="22"/>
        </w:rPr>
        <w:t xml:space="preserve"> </w:t>
      </w:r>
      <w:r w:rsidR="009838BF">
        <w:rPr>
          <w:rFonts w:ascii="Arial" w:hAnsi="Arial" w:cs="Arial"/>
          <w:sz w:val="22"/>
          <w:szCs w:val="22"/>
        </w:rPr>
        <w:t>.</w:t>
      </w:r>
      <w:proofErr w:type="gramEnd"/>
    </w:p>
    <w:p w14:paraId="3D6FFDAE" w14:textId="2C59A619" w:rsidR="00D47406" w:rsidRDefault="2E9B12F9" w:rsidP="00A87B23">
      <w:pPr>
        <w:rPr>
          <w:rFonts w:ascii="Arial" w:hAnsi="Arial" w:cs="Arial"/>
        </w:rPr>
      </w:pPr>
      <w:r w:rsidRPr="00FE283D">
        <w:rPr>
          <w:rFonts w:ascii="Arial" w:hAnsi="Arial" w:cs="Arial"/>
          <w:sz w:val="22"/>
          <w:szCs w:val="22"/>
        </w:rPr>
        <w:t xml:space="preserve">If possible, the reconciled data should be ‘frozen’ to avoid changes to the data (some data management software allows to set data as ‘frozen’), </w:t>
      </w:r>
    </w:p>
    <w:p w14:paraId="6CA1A7B2" w14:textId="77777777" w:rsidR="00D47406" w:rsidRPr="007321D2" w:rsidRDefault="00D47406" w:rsidP="00A87B23">
      <w:pPr>
        <w:rPr>
          <w:rFonts w:ascii="Arial" w:hAnsi="Arial" w:cs="Arial"/>
        </w:rPr>
      </w:pPr>
    </w:p>
    <w:p w14:paraId="0E27B00A" w14:textId="69E6154E" w:rsidR="007D1536" w:rsidRPr="007321D2" w:rsidRDefault="004D328A" w:rsidP="00FE283D">
      <w:pPr>
        <w:pStyle w:val="Heading1"/>
        <w:numPr>
          <w:ilvl w:val="0"/>
          <w:numId w:val="21"/>
        </w:numPr>
        <w:spacing w:before="0" w:after="120"/>
        <w:ind w:left="360"/>
      </w:pPr>
      <w:r w:rsidRPr="00FE283D">
        <w:rPr>
          <w:rFonts w:ascii="Arial" w:eastAsiaTheme="minorHAnsi" w:hAnsi="Arial" w:cs="Arial"/>
          <w:b w:val="0"/>
          <w:bCs w:val="0"/>
          <w:sz w:val="24"/>
          <w:szCs w:val="24"/>
        </w:rPr>
        <w:t xml:space="preserve"> </w:t>
      </w:r>
      <w:r w:rsidR="00574AA9" w:rsidRPr="006D02FB">
        <w:rPr>
          <w:rFonts w:ascii="Arial" w:eastAsiaTheme="minorHAnsi" w:hAnsi="Arial" w:cs="Arial"/>
          <w:sz w:val="24"/>
          <w:szCs w:val="24"/>
        </w:rPr>
        <w:t>A</w:t>
      </w:r>
      <w:r w:rsidR="003B04D3" w:rsidRPr="006D02FB">
        <w:rPr>
          <w:rFonts w:ascii="Arial" w:eastAsiaTheme="minorHAnsi" w:hAnsi="Arial" w:cs="Arial"/>
          <w:bCs w:val="0"/>
          <w:sz w:val="24"/>
          <w:szCs w:val="24"/>
        </w:rPr>
        <w:t>ttachments</w:t>
      </w:r>
    </w:p>
    <w:tbl>
      <w:tblPr>
        <w:tblStyle w:val="TableGrid"/>
        <w:tblW w:w="0" w:type="auto"/>
        <w:tblLook w:val="04A0" w:firstRow="1" w:lastRow="0" w:firstColumn="1" w:lastColumn="0" w:noHBand="0" w:noVBand="1"/>
      </w:tblPr>
      <w:tblGrid>
        <w:gridCol w:w="2794"/>
        <w:gridCol w:w="6222"/>
      </w:tblGrid>
      <w:tr w:rsidR="00674D56" w:rsidRPr="007321D2" w14:paraId="47F4AF6F" w14:textId="77777777" w:rsidTr="0052072F">
        <w:tc>
          <w:tcPr>
            <w:tcW w:w="9016" w:type="dxa"/>
            <w:gridSpan w:val="2"/>
            <w:shd w:val="clear" w:color="auto" w:fill="F2F2F2" w:themeFill="background1" w:themeFillShade="F2"/>
          </w:tcPr>
          <w:p w14:paraId="39D7A345" w14:textId="3ACC3B49" w:rsidR="00A15056" w:rsidRPr="007321D2" w:rsidRDefault="00A40419" w:rsidP="004404D0">
            <w:pPr>
              <w:rPr>
                <w:rFonts w:ascii="Arial" w:hAnsi="Arial" w:cs="Arial"/>
                <w:b/>
                <w:sz w:val="22"/>
                <w:szCs w:val="22"/>
              </w:rPr>
            </w:pPr>
            <w:r>
              <w:rPr>
                <w:rFonts w:ascii="Arial" w:hAnsi="Arial" w:cs="Arial"/>
                <w:b/>
                <w:sz w:val="22"/>
                <w:szCs w:val="22"/>
              </w:rPr>
              <w:t>Attachments</w:t>
            </w:r>
          </w:p>
        </w:tc>
      </w:tr>
      <w:tr w:rsidR="00674D56" w:rsidRPr="007321D2" w14:paraId="2B41F03A" w14:textId="77777777" w:rsidTr="0052072F">
        <w:tc>
          <w:tcPr>
            <w:tcW w:w="2794" w:type="dxa"/>
          </w:tcPr>
          <w:p w14:paraId="15F94F2D" w14:textId="77777777" w:rsidR="00A15056" w:rsidRPr="007321D2" w:rsidRDefault="00A15056" w:rsidP="004404D0">
            <w:pPr>
              <w:rPr>
                <w:rFonts w:ascii="Arial" w:hAnsi="Arial" w:cs="Arial"/>
                <w:b/>
                <w:sz w:val="22"/>
                <w:szCs w:val="22"/>
              </w:rPr>
            </w:pPr>
            <w:r w:rsidRPr="007321D2">
              <w:rPr>
                <w:rFonts w:ascii="Arial" w:hAnsi="Arial" w:cs="Arial"/>
                <w:b/>
                <w:sz w:val="22"/>
                <w:szCs w:val="22"/>
              </w:rPr>
              <w:t>Number</w:t>
            </w:r>
          </w:p>
        </w:tc>
        <w:tc>
          <w:tcPr>
            <w:tcW w:w="6222" w:type="dxa"/>
          </w:tcPr>
          <w:p w14:paraId="59AD10AE" w14:textId="77777777" w:rsidR="00A15056" w:rsidRPr="007321D2" w:rsidRDefault="00A15056" w:rsidP="004404D0">
            <w:pPr>
              <w:rPr>
                <w:rFonts w:ascii="Arial" w:hAnsi="Arial" w:cs="Arial"/>
                <w:b/>
                <w:sz w:val="22"/>
                <w:szCs w:val="22"/>
              </w:rPr>
            </w:pPr>
            <w:r w:rsidRPr="007321D2">
              <w:rPr>
                <w:rFonts w:ascii="Arial" w:hAnsi="Arial" w:cs="Arial"/>
                <w:b/>
                <w:sz w:val="22"/>
                <w:szCs w:val="22"/>
              </w:rPr>
              <w:t>Title</w:t>
            </w:r>
          </w:p>
        </w:tc>
      </w:tr>
      <w:tr w:rsidR="00A15056" w:rsidRPr="007321D2" w14:paraId="6EB9CAF6" w14:textId="77777777" w:rsidTr="0052072F">
        <w:tc>
          <w:tcPr>
            <w:tcW w:w="2794" w:type="dxa"/>
          </w:tcPr>
          <w:p w14:paraId="71F1866F" w14:textId="01C7381E" w:rsidR="00A15056" w:rsidRPr="00F37143" w:rsidRDefault="00F37143" w:rsidP="00F37143">
            <w:pPr>
              <w:rPr>
                <w:rFonts w:ascii="Arial" w:hAnsi="Arial" w:cs="Arial"/>
                <w:color w:val="000000" w:themeColor="text1"/>
                <w:sz w:val="22"/>
                <w:szCs w:val="22"/>
              </w:rPr>
            </w:pPr>
            <w:r w:rsidRPr="00F37143">
              <w:rPr>
                <w:rFonts w:ascii="Arial" w:hAnsi="Arial" w:cs="Arial"/>
                <w:color w:val="000000" w:themeColor="text1"/>
                <w:sz w:val="22"/>
                <w:szCs w:val="22"/>
              </w:rPr>
              <w:t>01</w:t>
            </w:r>
          </w:p>
        </w:tc>
        <w:tc>
          <w:tcPr>
            <w:tcW w:w="6222" w:type="dxa"/>
          </w:tcPr>
          <w:p w14:paraId="57C98108" w14:textId="44E6B114" w:rsidR="00A15056" w:rsidRPr="00F37143" w:rsidRDefault="00F37143" w:rsidP="00F37143">
            <w:pPr>
              <w:rPr>
                <w:rFonts w:ascii="Arial" w:hAnsi="Arial" w:cs="Arial"/>
                <w:color w:val="000000" w:themeColor="text1"/>
                <w:sz w:val="22"/>
                <w:szCs w:val="22"/>
              </w:rPr>
            </w:pPr>
            <w:r w:rsidRPr="00F37143">
              <w:rPr>
                <w:rFonts w:ascii="Arial" w:hAnsi="Arial" w:cs="Arial"/>
                <w:color w:val="000000" w:themeColor="text1"/>
                <w:sz w:val="22"/>
                <w:szCs w:val="22"/>
              </w:rPr>
              <w:t>SAE R</w:t>
            </w:r>
            <w:r>
              <w:rPr>
                <w:rFonts w:ascii="Arial" w:hAnsi="Arial" w:cs="Arial"/>
                <w:color w:val="000000" w:themeColor="text1"/>
                <w:sz w:val="22"/>
                <w:szCs w:val="22"/>
              </w:rPr>
              <w:t>econciliation Checklist Template</w:t>
            </w:r>
          </w:p>
        </w:tc>
      </w:tr>
    </w:tbl>
    <w:p w14:paraId="60061E4C" w14:textId="77777777" w:rsidR="00923642" w:rsidRPr="007321D2" w:rsidRDefault="00923642" w:rsidP="00A87B23">
      <w:pPr>
        <w:rPr>
          <w:rFonts w:ascii="Arial" w:eastAsiaTheme="minorHAnsi" w:hAnsi="Arial" w:cs="Arial"/>
        </w:rPr>
      </w:pPr>
    </w:p>
    <w:p w14:paraId="44EAFD9C" w14:textId="75139712" w:rsidR="00C150FA" w:rsidRPr="006D02FB" w:rsidRDefault="00427E4D" w:rsidP="00FE283D">
      <w:pPr>
        <w:pStyle w:val="ListParagraph"/>
        <w:numPr>
          <w:ilvl w:val="0"/>
          <w:numId w:val="21"/>
        </w:numPr>
        <w:spacing w:after="120"/>
        <w:ind w:left="360"/>
        <w:rPr>
          <w:rFonts w:ascii="Arial" w:eastAsiaTheme="minorHAnsi" w:hAnsi="Arial" w:cs="Arial"/>
          <w:b/>
          <w:color w:val="365F91" w:themeColor="accent1" w:themeShade="BF"/>
          <w:szCs w:val="24"/>
        </w:rPr>
      </w:pPr>
      <w:r w:rsidRPr="00FE283D">
        <w:rPr>
          <w:rFonts w:ascii="Arial" w:eastAsiaTheme="minorHAnsi" w:hAnsi="Arial" w:cs="Arial"/>
          <w:b/>
          <w:bCs/>
          <w:color w:val="365F91" w:themeColor="accent1" w:themeShade="BF"/>
          <w:szCs w:val="24"/>
        </w:rPr>
        <w:t xml:space="preserve"> Document History</w:t>
      </w:r>
      <w:r w:rsidR="00574AA9" w:rsidRPr="00BB378F">
        <w:rPr>
          <w:rFonts w:ascii="Arial" w:eastAsiaTheme="minorHAnsi" w:hAnsi="Arial" w:cs="Arial"/>
          <w:szCs w:val="24"/>
        </w:rPr>
        <w:t xml:space="preserve"> </w:t>
      </w:r>
      <w:r w:rsidR="00574AA9" w:rsidRPr="006D02FB">
        <w:rPr>
          <w:rFonts w:ascii="Arial" w:eastAsiaTheme="minorHAnsi" w:hAnsi="Arial" w:cs="Arial"/>
          <w:b/>
          <w:color w:val="365F91" w:themeColor="accent1" w:themeShade="BF"/>
          <w:szCs w:val="24"/>
        </w:rPr>
        <w:t>and References</w:t>
      </w:r>
    </w:p>
    <w:tbl>
      <w:tblPr>
        <w:tblStyle w:val="TableGrid"/>
        <w:tblW w:w="9100" w:type="dxa"/>
        <w:tblLook w:val="04A0" w:firstRow="1" w:lastRow="0" w:firstColumn="1" w:lastColumn="0" w:noHBand="0" w:noVBand="1"/>
      </w:tblPr>
      <w:tblGrid>
        <w:gridCol w:w="1155"/>
        <w:gridCol w:w="1959"/>
        <w:gridCol w:w="1843"/>
        <w:gridCol w:w="4143"/>
      </w:tblGrid>
      <w:tr w:rsidR="00EA0EAD" w:rsidRPr="00EA0EAD" w14:paraId="675E0CA1" w14:textId="77777777" w:rsidTr="00FE283D">
        <w:tc>
          <w:tcPr>
            <w:tcW w:w="9100" w:type="dxa"/>
            <w:gridSpan w:val="4"/>
            <w:shd w:val="clear" w:color="auto" w:fill="D9D9D9" w:themeFill="background1" w:themeFillShade="D9"/>
          </w:tcPr>
          <w:p w14:paraId="27865455" w14:textId="77777777" w:rsidR="00EA0EAD" w:rsidRPr="00FE283D" w:rsidRDefault="00EA0EAD" w:rsidP="00F37ED1">
            <w:pPr>
              <w:rPr>
                <w:rFonts w:ascii="Arial" w:hAnsi="Arial" w:cs="Arial"/>
                <w:b/>
                <w:sz w:val="22"/>
                <w:szCs w:val="22"/>
              </w:rPr>
            </w:pPr>
            <w:bookmarkStart w:id="4" w:name="_Hlk21006957"/>
            <w:r w:rsidRPr="00FE283D">
              <w:rPr>
                <w:rFonts w:ascii="Arial" w:hAnsi="Arial" w:cs="Arial"/>
                <w:b/>
                <w:sz w:val="22"/>
                <w:szCs w:val="22"/>
              </w:rPr>
              <w:t xml:space="preserve">Revision </w:t>
            </w:r>
          </w:p>
        </w:tc>
      </w:tr>
      <w:tr w:rsidR="00EA0EAD" w:rsidRPr="00EA0EAD" w14:paraId="6110AEF0" w14:textId="77777777" w:rsidTr="00FE283D">
        <w:tc>
          <w:tcPr>
            <w:tcW w:w="1155" w:type="dxa"/>
            <w:shd w:val="clear" w:color="auto" w:fill="F2F2F2" w:themeFill="background1" w:themeFillShade="F2"/>
          </w:tcPr>
          <w:p w14:paraId="1E176ED5" w14:textId="77777777" w:rsidR="00EA0EAD" w:rsidRPr="00FE283D" w:rsidRDefault="00EA0EAD" w:rsidP="00F37ED1">
            <w:pPr>
              <w:rPr>
                <w:rFonts w:ascii="Arial" w:hAnsi="Arial" w:cs="Arial"/>
                <w:b/>
                <w:sz w:val="22"/>
                <w:szCs w:val="22"/>
              </w:rPr>
            </w:pPr>
            <w:r w:rsidRPr="00FE283D">
              <w:rPr>
                <w:rFonts w:ascii="Arial" w:hAnsi="Arial" w:cs="Arial"/>
                <w:b/>
                <w:sz w:val="22"/>
                <w:szCs w:val="22"/>
              </w:rPr>
              <w:t>Version number</w:t>
            </w:r>
          </w:p>
        </w:tc>
        <w:tc>
          <w:tcPr>
            <w:tcW w:w="1959" w:type="dxa"/>
            <w:shd w:val="clear" w:color="auto" w:fill="F2F2F2" w:themeFill="background1" w:themeFillShade="F2"/>
          </w:tcPr>
          <w:p w14:paraId="04039BE7" w14:textId="77777777" w:rsidR="00EA0EAD" w:rsidRPr="00FE283D" w:rsidRDefault="00EA0EAD" w:rsidP="00F37ED1">
            <w:pPr>
              <w:rPr>
                <w:rFonts w:ascii="Arial" w:hAnsi="Arial" w:cs="Arial"/>
                <w:b/>
                <w:color w:val="808080" w:themeColor="background1" w:themeShade="80"/>
                <w:sz w:val="22"/>
                <w:szCs w:val="22"/>
              </w:rPr>
            </w:pPr>
            <w:r w:rsidRPr="00FE283D">
              <w:rPr>
                <w:rFonts w:ascii="Arial" w:hAnsi="Arial" w:cs="Arial"/>
                <w:b/>
                <w:sz w:val="22"/>
                <w:szCs w:val="22"/>
              </w:rPr>
              <w:t>Author</w:t>
            </w:r>
          </w:p>
        </w:tc>
        <w:tc>
          <w:tcPr>
            <w:tcW w:w="1843" w:type="dxa"/>
            <w:shd w:val="clear" w:color="auto" w:fill="F2F2F2" w:themeFill="background1" w:themeFillShade="F2"/>
          </w:tcPr>
          <w:p w14:paraId="19809B14" w14:textId="77777777" w:rsidR="00EA0EAD" w:rsidRPr="00FE283D" w:rsidRDefault="00EA0EAD" w:rsidP="00F37ED1">
            <w:pPr>
              <w:rPr>
                <w:rFonts w:ascii="Arial" w:hAnsi="Arial" w:cs="Arial"/>
                <w:b/>
                <w:color w:val="808080" w:themeColor="background1" w:themeShade="80"/>
                <w:sz w:val="22"/>
                <w:szCs w:val="22"/>
              </w:rPr>
            </w:pPr>
            <w:r w:rsidRPr="00FE283D">
              <w:rPr>
                <w:rFonts w:ascii="Arial" w:hAnsi="Arial" w:cs="Arial"/>
                <w:b/>
                <w:sz w:val="22"/>
                <w:szCs w:val="22"/>
              </w:rPr>
              <w:t>Date</w:t>
            </w:r>
          </w:p>
        </w:tc>
        <w:tc>
          <w:tcPr>
            <w:tcW w:w="4143" w:type="dxa"/>
            <w:shd w:val="clear" w:color="auto" w:fill="F2F2F2" w:themeFill="background1" w:themeFillShade="F2"/>
          </w:tcPr>
          <w:p w14:paraId="75C9FD8B" w14:textId="77777777" w:rsidR="00EA0EAD" w:rsidRPr="00EA0EAD" w:rsidRDefault="00EA0EAD" w:rsidP="00F37ED1">
            <w:pPr>
              <w:pStyle w:val="TableParagraph"/>
              <w:ind w:left="0"/>
              <w:rPr>
                <w:b/>
              </w:rPr>
            </w:pPr>
            <w:r w:rsidRPr="00EA0EAD">
              <w:rPr>
                <w:b/>
              </w:rPr>
              <w:t>Description/reason for modification</w:t>
            </w:r>
          </w:p>
        </w:tc>
      </w:tr>
      <w:tr w:rsidR="00EA0EAD" w:rsidRPr="00EA0EAD" w14:paraId="3E6539E4" w14:textId="77777777" w:rsidTr="00FE283D">
        <w:tc>
          <w:tcPr>
            <w:tcW w:w="1155" w:type="dxa"/>
          </w:tcPr>
          <w:p w14:paraId="58140753" w14:textId="77777777" w:rsidR="00EA0EAD" w:rsidRPr="00EA0EAD" w:rsidRDefault="00EA0EAD" w:rsidP="74F6796E">
            <w:pPr>
              <w:pStyle w:val="TableParagraph"/>
              <w:ind w:left="0"/>
              <w:rPr>
                <w:color w:val="000000" w:themeColor="text1"/>
              </w:rPr>
            </w:pPr>
            <w:r w:rsidRPr="00EA0EAD">
              <w:rPr>
                <w:color w:val="000000" w:themeColor="text1"/>
              </w:rPr>
              <w:t>1.0</w:t>
            </w:r>
          </w:p>
        </w:tc>
        <w:tc>
          <w:tcPr>
            <w:tcW w:w="1959" w:type="dxa"/>
          </w:tcPr>
          <w:p w14:paraId="1369E8B3" w14:textId="6B6D1D69" w:rsidR="00EA0EAD" w:rsidRPr="00FE283D" w:rsidRDefault="00EA0EAD" w:rsidP="00F37ED1">
            <w:pPr>
              <w:rPr>
                <w:rFonts w:ascii="Arial" w:hAnsi="Arial" w:cs="Arial"/>
                <w:color w:val="000000" w:themeColor="text1"/>
                <w:sz w:val="22"/>
                <w:szCs w:val="22"/>
              </w:rPr>
            </w:pPr>
            <w:r>
              <w:rPr>
                <w:rFonts w:ascii="Arial" w:hAnsi="Arial" w:cs="Arial"/>
                <w:color w:val="000000" w:themeColor="text1"/>
                <w:sz w:val="22"/>
                <w:szCs w:val="22"/>
              </w:rPr>
              <w:t>Hanne Landuyt</w:t>
            </w:r>
          </w:p>
        </w:tc>
        <w:tc>
          <w:tcPr>
            <w:tcW w:w="1843" w:type="dxa"/>
          </w:tcPr>
          <w:p w14:paraId="6110E3EE" w14:textId="04D976D3" w:rsidR="00EA0EAD" w:rsidRPr="00FE283D" w:rsidRDefault="00EA0EAD" w:rsidP="00F37ED1">
            <w:pPr>
              <w:rPr>
                <w:rFonts w:ascii="Arial" w:hAnsi="Arial" w:cs="Arial"/>
                <w:color w:val="000000" w:themeColor="text1"/>
                <w:sz w:val="22"/>
                <w:szCs w:val="22"/>
              </w:rPr>
            </w:pPr>
            <w:r>
              <w:rPr>
                <w:rFonts w:ascii="Arial" w:hAnsi="Arial" w:cs="Arial"/>
                <w:color w:val="000000" w:themeColor="text1"/>
                <w:sz w:val="22"/>
                <w:szCs w:val="22"/>
              </w:rPr>
              <w:t>04/10/2019</w:t>
            </w:r>
          </w:p>
        </w:tc>
        <w:tc>
          <w:tcPr>
            <w:tcW w:w="4143" w:type="dxa"/>
          </w:tcPr>
          <w:p w14:paraId="3B4E233B" w14:textId="77777777" w:rsidR="00EA0EAD" w:rsidRPr="00C41A7D" w:rsidRDefault="00EA0EAD" w:rsidP="00FE283D">
            <w:pPr>
              <w:rPr>
                <w:rFonts w:ascii="Arial" w:hAnsi="Arial" w:cs="Arial"/>
                <w:color w:val="000000" w:themeColor="text1"/>
                <w:sz w:val="22"/>
                <w:szCs w:val="22"/>
              </w:rPr>
            </w:pPr>
            <w:r w:rsidRPr="00C41A7D">
              <w:rPr>
                <w:rFonts w:ascii="Arial" w:hAnsi="Arial" w:cs="Arial"/>
                <w:color w:val="000000" w:themeColor="text1"/>
                <w:sz w:val="22"/>
                <w:szCs w:val="22"/>
              </w:rPr>
              <w:t>Initial version</w:t>
            </w:r>
          </w:p>
          <w:p w14:paraId="057AED9C" w14:textId="77777777" w:rsidR="00C41A7D" w:rsidRPr="00C41A7D" w:rsidRDefault="00C41A7D" w:rsidP="00FE283D">
            <w:pPr>
              <w:rPr>
                <w:rFonts w:ascii="Arial" w:hAnsi="Arial" w:cs="Arial"/>
                <w:color w:val="000000" w:themeColor="text1"/>
                <w:sz w:val="22"/>
                <w:szCs w:val="22"/>
              </w:rPr>
            </w:pPr>
          </w:p>
          <w:p w14:paraId="153AB42A" w14:textId="77777777" w:rsidR="00C41A7D" w:rsidRPr="00C41A7D" w:rsidRDefault="00C41A7D" w:rsidP="00FE283D">
            <w:pPr>
              <w:rPr>
                <w:rFonts w:ascii="Arial" w:hAnsi="Arial" w:cs="Arial"/>
                <w:sz w:val="22"/>
                <w:szCs w:val="22"/>
              </w:rPr>
            </w:pPr>
            <w:r w:rsidRPr="00C41A7D">
              <w:rPr>
                <w:rFonts w:ascii="Arial" w:hAnsi="Arial" w:cs="Arial"/>
                <w:color w:val="000000" w:themeColor="text1"/>
                <w:sz w:val="22"/>
                <w:szCs w:val="22"/>
              </w:rPr>
              <w:t xml:space="preserve">Review by </w:t>
            </w:r>
            <w:r w:rsidRPr="00C41A7D">
              <w:rPr>
                <w:rFonts w:ascii="Arial" w:hAnsi="Arial" w:cs="Arial"/>
                <w:sz w:val="22"/>
                <w:szCs w:val="22"/>
              </w:rPr>
              <w:t>Fatoumatta Cole and Yusupha Njie,</w:t>
            </w:r>
          </w:p>
          <w:p w14:paraId="6005178C" w14:textId="71BE06B5" w:rsidR="00C41A7D" w:rsidRPr="00C41A7D" w:rsidRDefault="00C41A7D" w:rsidP="00FE283D">
            <w:pPr>
              <w:rPr>
                <w:rFonts w:ascii="Arial" w:hAnsi="Arial" w:cs="Arial"/>
                <w:color w:val="000000" w:themeColor="text1"/>
                <w:sz w:val="22"/>
                <w:szCs w:val="22"/>
              </w:rPr>
            </w:pPr>
            <w:r w:rsidRPr="00C41A7D">
              <w:rPr>
                <w:rFonts w:ascii="Arial" w:hAnsi="Arial" w:cs="Arial"/>
                <w:sz w:val="22"/>
                <w:szCs w:val="22"/>
              </w:rPr>
              <w:t>Approval by Bai Lamin Dondeh and Harry van Loen</w:t>
            </w:r>
          </w:p>
        </w:tc>
      </w:tr>
      <w:tr w:rsidR="00C41A7D" w:rsidRPr="00EA0EAD" w14:paraId="77C57623" w14:textId="77777777" w:rsidTr="00FE283D">
        <w:tc>
          <w:tcPr>
            <w:tcW w:w="1155" w:type="dxa"/>
          </w:tcPr>
          <w:p w14:paraId="52F3C556" w14:textId="36207018" w:rsidR="00C41A7D" w:rsidRPr="00EA0EAD" w:rsidRDefault="00C41A7D" w:rsidP="74F6796E">
            <w:pPr>
              <w:pStyle w:val="TableParagraph"/>
              <w:ind w:left="0"/>
              <w:rPr>
                <w:color w:val="000000" w:themeColor="text1"/>
              </w:rPr>
            </w:pPr>
            <w:r>
              <w:rPr>
                <w:color w:val="000000" w:themeColor="text1"/>
              </w:rPr>
              <w:t>2.0</w:t>
            </w:r>
          </w:p>
        </w:tc>
        <w:tc>
          <w:tcPr>
            <w:tcW w:w="1959" w:type="dxa"/>
          </w:tcPr>
          <w:p w14:paraId="6CE646BC" w14:textId="56C19BFE" w:rsidR="00C41A7D" w:rsidRDefault="00C41A7D" w:rsidP="00F37ED1">
            <w:pPr>
              <w:rPr>
                <w:rFonts w:ascii="Arial" w:hAnsi="Arial" w:cs="Arial"/>
                <w:color w:val="000000" w:themeColor="text1"/>
                <w:sz w:val="22"/>
                <w:szCs w:val="22"/>
              </w:rPr>
            </w:pPr>
            <w:r>
              <w:rPr>
                <w:rFonts w:ascii="Arial" w:hAnsi="Arial" w:cs="Arial"/>
                <w:color w:val="000000" w:themeColor="text1"/>
                <w:sz w:val="22"/>
                <w:szCs w:val="22"/>
              </w:rPr>
              <w:t>Hanne Landuyt</w:t>
            </w:r>
          </w:p>
        </w:tc>
        <w:tc>
          <w:tcPr>
            <w:tcW w:w="1843" w:type="dxa"/>
          </w:tcPr>
          <w:p w14:paraId="593499F9" w14:textId="1181EB94" w:rsidR="00C41A7D" w:rsidRDefault="00C41A7D" w:rsidP="00F37ED1">
            <w:pPr>
              <w:rPr>
                <w:rFonts w:ascii="Arial" w:hAnsi="Arial" w:cs="Arial"/>
                <w:color w:val="000000" w:themeColor="text1"/>
                <w:sz w:val="22"/>
                <w:szCs w:val="22"/>
              </w:rPr>
            </w:pPr>
            <w:r>
              <w:rPr>
                <w:rFonts w:ascii="Arial" w:hAnsi="Arial" w:cs="Arial"/>
                <w:color w:val="000000" w:themeColor="text1"/>
                <w:sz w:val="22"/>
                <w:szCs w:val="22"/>
              </w:rPr>
              <w:t>20/06/2022</w:t>
            </w:r>
          </w:p>
        </w:tc>
        <w:tc>
          <w:tcPr>
            <w:tcW w:w="4143" w:type="dxa"/>
          </w:tcPr>
          <w:p w14:paraId="5203D314" w14:textId="7E993CC2" w:rsidR="00C41A7D" w:rsidRPr="00C41A7D" w:rsidRDefault="00C41A7D" w:rsidP="00FE283D">
            <w:pPr>
              <w:rPr>
                <w:rFonts w:ascii="Arial" w:hAnsi="Arial" w:cs="Arial"/>
                <w:color w:val="000000" w:themeColor="text1"/>
                <w:sz w:val="22"/>
                <w:szCs w:val="22"/>
              </w:rPr>
            </w:pPr>
            <w:r w:rsidRPr="00C41A7D">
              <w:rPr>
                <w:rFonts w:ascii="Arial" w:hAnsi="Arial" w:cs="Arial"/>
                <w:sz w:val="22"/>
                <w:szCs w:val="22"/>
              </w:rPr>
              <w:t>Review to ensure that the SOP is appropriate within ALERRT and with current clinical research best practices.</w:t>
            </w:r>
          </w:p>
        </w:tc>
      </w:tr>
      <w:bookmarkEnd w:id="4"/>
    </w:tbl>
    <w:p w14:paraId="77CDA6D6" w14:textId="77777777" w:rsidR="00EA0EAD" w:rsidRDefault="00EA0EAD" w:rsidP="00904231">
      <w:pPr>
        <w:rPr>
          <w:rFonts w:ascii="Arial" w:eastAsiaTheme="minorHAnsi" w:hAnsi="Arial" w:cs="Arial"/>
          <w:bCs/>
          <w:szCs w:val="24"/>
        </w:rPr>
      </w:pPr>
    </w:p>
    <w:p w14:paraId="3DEEC669" w14:textId="4A1F305E" w:rsidR="00C13250" w:rsidRPr="004013BC" w:rsidRDefault="00904231" w:rsidP="00FE283D">
      <w:pPr>
        <w:pStyle w:val="ListParagraph"/>
        <w:numPr>
          <w:ilvl w:val="0"/>
          <w:numId w:val="21"/>
        </w:numPr>
        <w:spacing w:after="120"/>
        <w:ind w:left="360"/>
        <w:rPr>
          <w:rFonts w:eastAsiaTheme="minorHAnsi"/>
          <w:sz w:val="16"/>
          <w:szCs w:val="16"/>
        </w:rPr>
      </w:pPr>
      <w:r w:rsidRPr="00FE283D">
        <w:rPr>
          <w:rFonts w:ascii="Arial" w:eastAsiaTheme="minorHAnsi" w:hAnsi="Arial" w:cs="Arial"/>
          <w:b/>
          <w:bCs/>
          <w:color w:val="365F91" w:themeColor="accent1" w:themeShade="BF"/>
          <w:szCs w:val="24"/>
        </w:rPr>
        <w:t xml:space="preserve"> </w:t>
      </w:r>
      <w:r w:rsidR="003E2FBE" w:rsidRPr="00FE283D">
        <w:rPr>
          <w:rFonts w:ascii="Arial" w:eastAsiaTheme="minorHAnsi" w:hAnsi="Arial" w:cs="Arial"/>
          <w:b/>
          <w:bCs/>
          <w:color w:val="365F91" w:themeColor="accent1" w:themeShade="BF"/>
          <w:szCs w:val="24"/>
        </w:rPr>
        <w:t>Approval</w:t>
      </w:r>
    </w:p>
    <w:tbl>
      <w:tblPr>
        <w:tblStyle w:val="TableGrid1"/>
        <w:tblW w:w="0" w:type="auto"/>
        <w:tblLook w:val="04A0" w:firstRow="1" w:lastRow="0" w:firstColumn="1" w:lastColumn="0" w:noHBand="0" w:noVBand="1"/>
      </w:tblPr>
      <w:tblGrid>
        <w:gridCol w:w="3956"/>
        <w:gridCol w:w="1959"/>
        <w:gridCol w:w="3101"/>
      </w:tblGrid>
      <w:tr w:rsidR="00C41A7D" w14:paraId="0534E0C6" w14:textId="77777777" w:rsidTr="00C41A7D">
        <w:tc>
          <w:tcPr>
            <w:tcW w:w="3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922ADC" w14:textId="77777777" w:rsidR="00C41A7D" w:rsidRPr="00C41A7D" w:rsidRDefault="00C41A7D">
            <w:pPr>
              <w:rPr>
                <w:rFonts w:ascii="Arial" w:hAnsi="Arial" w:cs="Arial"/>
                <w:b/>
                <w:sz w:val="22"/>
                <w:szCs w:val="22"/>
              </w:rPr>
            </w:pPr>
            <w:r w:rsidRPr="00C41A7D">
              <w:rPr>
                <w:rFonts w:ascii="Arial" w:hAnsi="Arial" w:cs="Arial"/>
                <w:b/>
                <w:sz w:val="22"/>
                <w:szCs w:val="22"/>
              </w:rPr>
              <w:t>Name and function</w:t>
            </w:r>
          </w:p>
        </w:tc>
        <w:tc>
          <w:tcPr>
            <w:tcW w:w="19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833148" w14:textId="77777777" w:rsidR="00C41A7D" w:rsidRPr="00C41A7D" w:rsidRDefault="00C41A7D">
            <w:pPr>
              <w:rPr>
                <w:rFonts w:ascii="Arial" w:hAnsi="Arial" w:cs="Arial"/>
                <w:b/>
                <w:sz w:val="22"/>
                <w:szCs w:val="22"/>
              </w:rPr>
            </w:pPr>
            <w:r w:rsidRPr="00C41A7D">
              <w:rPr>
                <w:rFonts w:ascii="Arial" w:hAnsi="Arial" w:cs="Arial"/>
                <w:b/>
                <w:sz w:val="22"/>
                <w:szCs w:val="22"/>
              </w:rPr>
              <w:t>Date (dd/mm/yyyy)</w:t>
            </w:r>
          </w:p>
        </w:tc>
        <w:tc>
          <w:tcPr>
            <w:tcW w:w="31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067EA2" w14:textId="77777777" w:rsidR="00C41A7D" w:rsidRPr="00C41A7D" w:rsidRDefault="00C41A7D">
            <w:pPr>
              <w:rPr>
                <w:rFonts w:ascii="Arial" w:hAnsi="Arial" w:cs="Arial"/>
                <w:b/>
                <w:sz w:val="22"/>
                <w:szCs w:val="22"/>
              </w:rPr>
            </w:pPr>
            <w:r w:rsidRPr="00C41A7D">
              <w:rPr>
                <w:rFonts w:ascii="Arial" w:hAnsi="Arial" w:cs="Arial"/>
                <w:b/>
                <w:sz w:val="22"/>
                <w:szCs w:val="22"/>
              </w:rPr>
              <w:t>Signature</w:t>
            </w:r>
          </w:p>
        </w:tc>
      </w:tr>
      <w:tr w:rsidR="00C41A7D" w14:paraId="0602AD7D" w14:textId="77777777" w:rsidTr="00C41A7D">
        <w:tc>
          <w:tcPr>
            <w:tcW w:w="901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89FD030" w14:textId="77777777" w:rsidR="00C41A7D" w:rsidRPr="00C41A7D" w:rsidRDefault="00C41A7D">
            <w:pPr>
              <w:rPr>
                <w:rFonts w:ascii="Arial" w:hAnsi="Arial" w:cs="Arial"/>
                <w:i/>
                <w:sz w:val="22"/>
                <w:szCs w:val="22"/>
              </w:rPr>
            </w:pPr>
            <w:r w:rsidRPr="00C41A7D">
              <w:rPr>
                <w:rFonts w:ascii="Arial" w:hAnsi="Arial" w:cs="Arial"/>
                <w:b/>
                <w:i/>
                <w:sz w:val="22"/>
                <w:szCs w:val="22"/>
              </w:rPr>
              <w:t>Author</w:t>
            </w:r>
          </w:p>
        </w:tc>
      </w:tr>
      <w:tr w:rsidR="00C41A7D" w14:paraId="13FB1355" w14:textId="77777777" w:rsidTr="00C41A7D">
        <w:trPr>
          <w:trHeight w:val="410"/>
        </w:trPr>
        <w:tc>
          <w:tcPr>
            <w:tcW w:w="3956" w:type="dxa"/>
            <w:tcBorders>
              <w:top w:val="single" w:sz="4" w:space="0" w:color="auto"/>
              <w:left w:val="single" w:sz="4" w:space="0" w:color="auto"/>
              <w:bottom w:val="single" w:sz="4" w:space="0" w:color="auto"/>
              <w:right w:val="single" w:sz="4" w:space="0" w:color="auto"/>
            </w:tcBorders>
            <w:hideMark/>
          </w:tcPr>
          <w:p w14:paraId="7991F0E8" w14:textId="77777777" w:rsidR="00C41A7D" w:rsidRDefault="00C41A7D">
            <w:pPr>
              <w:rPr>
                <w:rFonts w:ascii="Arial" w:hAnsi="Arial" w:cs="Arial"/>
                <w:i/>
                <w:color w:val="808080" w:themeColor="background1" w:themeShade="80"/>
                <w:sz w:val="22"/>
                <w:szCs w:val="22"/>
              </w:rPr>
            </w:pPr>
            <w:r w:rsidRPr="00C41A7D">
              <w:rPr>
                <w:rFonts w:ascii="Arial" w:hAnsi="Arial" w:cs="Arial"/>
                <w:i/>
                <w:color w:val="808080" w:themeColor="background1" w:themeShade="80"/>
                <w:sz w:val="22"/>
                <w:szCs w:val="22"/>
              </w:rPr>
              <w:t xml:space="preserve">Indicate who wrote the </w:t>
            </w:r>
            <w:proofErr w:type="gramStart"/>
            <w:r w:rsidRPr="00C41A7D">
              <w:rPr>
                <w:rFonts w:ascii="Arial" w:hAnsi="Arial" w:cs="Arial"/>
                <w:i/>
                <w:color w:val="808080" w:themeColor="background1" w:themeShade="80"/>
                <w:sz w:val="22"/>
                <w:szCs w:val="22"/>
              </w:rPr>
              <w:t>SOP</w:t>
            </w:r>
            <w:proofErr w:type="gramEnd"/>
          </w:p>
          <w:p w14:paraId="2FC6450A" w14:textId="6ED3FBE6" w:rsidR="007B576C" w:rsidRPr="00C41A7D" w:rsidRDefault="007B576C">
            <w:pPr>
              <w:rPr>
                <w:rFonts w:ascii="Arial" w:hAnsi="Arial" w:cs="Arial"/>
                <w:sz w:val="22"/>
                <w:szCs w:val="22"/>
              </w:rPr>
            </w:pPr>
          </w:p>
        </w:tc>
        <w:tc>
          <w:tcPr>
            <w:tcW w:w="1959" w:type="dxa"/>
            <w:tcBorders>
              <w:top w:val="single" w:sz="4" w:space="0" w:color="auto"/>
              <w:left w:val="single" w:sz="4" w:space="0" w:color="auto"/>
              <w:bottom w:val="single" w:sz="4" w:space="0" w:color="auto"/>
              <w:right w:val="single" w:sz="4" w:space="0" w:color="auto"/>
            </w:tcBorders>
          </w:tcPr>
          <w:p w14:paraId="6453660D" w14:textId="77777777" w:rsidR="00C41A7D" w:rsidRPr="00C41A7D" w:rsidRDefault="00C41A7D">
            <w:pPr>
              <w:rPr>
                <w:rFonts w:ascii="Arial" w:eastAsiaTheme="minorHAnsi" w:hAnsi="Arial" w:cs="Arial"/>
                <w:sz w:val="22"/>
                <w:szCs w:val="22"/>
              </w:rPr>
            </w:pPr>
          </w:p>
        </w:tc>
        <w:tc>
          <w:tcPr>
            <w:tcW w:w="3101" w:type="dxa"/>
            <w:tcBorders>
              <w:top w:val="single" w:sz="4" w:space="0" w:color="auto"/>
              <w:left w:val="single" w:sz="4" w:space="0" w:color="auto"/>
              <w:bottom w:val="single" w:sz="4" w:space="0" w:color="auto"/>
              <w:right w:val="single" w:sz="4" w:space="0" w:color="auto"/>
            </w:tcBorders>
          </w:tcPr>
          <w:p w14:paraId="6E7EDD42" w14:textId="77777777" w:rsidR="00C41A7D" w:rsidRPr="00C41A7D" w:rsidRDefault="00C41A7D">
            <w:pPr>
              <w:rPr>
                <w:rFonts w:ascii="Arial" w:eastAsiaTheme="minorHAnsi" w:hAnsi="Arial" w:cs="Arial"/>
                <w:sz w:val="22"/>
                <w:szCs w:val="22"/>
              </w:rPr>
            </w:pPr>
          </w:p>
        </w:tc>
      </w:tr>
      <w:tr w:rsidR="00C41A7D" w14:paraId="74D90773" w14:textId="77777777" w:rsidTr="00C41A7D">
        <w:tc>
          <w:tcPr>
            <w:tcW w:w="901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2215C27" w14:textId="77777777" w:rsidR="00C41A7D" w:rsidRPr="00C41A7D" w:rsidRDefault="00C41A7D">
            <w:pPr>
              <w:rPr>
                <w:rFonts w:ascii="Arial" w:hAnsi="Arial" w:cs="Arial"/>
                <w:i/>
                <w:sz w:val="22"/>
                <w:szCs w:val="22"/>
              </w:rPr>
            </w:pPr>
            <w:r w:rsidRPr="00C41A7D">
              <w:rPr>
                <w:rFonts w:ascii="Arial" w:hAnsi="Arial" w:cs="Arial"/>
                <w:b/>
                <w:i/>
                <w:sz w:val="22"/>
                <w:szCs w:val="22"/>
              </w:rPr>
              <w:t>Review</w:t>
            </w:r>
          </w:p>
        </w:tc>
      </w:tr>
      <w:tr w:rsidR="00C41A7D" w14:paraId="7BAD7F77" w14:textId="77777777" w:rsidTr="00C41A7D">
        <w:trPr>
          <w:trHeight w:val="480"/>
        </w:trPr>
        <w:tc>
          <w:tcPr>
            <w:tcW w:w="3956" w:type="dxa"/>
            <w:tcBorders>
              <w:top w:val="single" w:sz="4" w:space="0" w:color="auto"/>
              <w:left w:val="single" w:sz="4" w:space="0" w:color="auto"/>
              <w:bottom w:val="single" w:sz="4" w:space="0" w:color="auto"/>
              <w:right w:val="single" w:sz="4" w:space="0" w:color="auto"/>
            </w:tcBorders>
          </w:tcPr>
          <w:p w14:paraId="44FFCB53" w14:textId="77777777" w:rsidR="00C41A7D" w:rsidRPr="00C41A7D" w:rsidRDefault="00C41A7D">
            <w:pPr>
              <w:rPr>
                <w:rFonts w:ascii="Arial" w:hAnsi="Arial" w:cs="Arial"/>
                <w:i/>
                <w:color w:val="808080" w:themeColor="background1" w:themeShade="80"/>
                <w:sz w:val="22"/>
                <w:szCs w:val="22"/>
              </w:rPr>
            </w:pPr>
            <w:r w:rsidRPr="00C41A7D">
              <w:rPr>
                <w:rFonts w:ascii="Arial" w:hAnsi="Arial" w:cs="Arial"/>
                <w:i/>
                <w:color w:val="808080" w:themeColor="background1" w:themeShade="80"/>
                <w:sz w:val="22"/>
                <w:szCs w:val="22"/>
              </w:rPr>
              <w:t>Indicate WP team members who reviewed (if applicable)</w:t>
            </w:r>
          </w:p>
          <w:p w14:paraId="2428156E" w14:textId="77777777" w:rsidR="00C41A7D" w:rsidRPr="00C41A7D" w:rsidRDefault="00C41A7D">
            <w:pPr>
              <w:rPr>
                <w:rFonts w:ascii="Arial" w:eastAsiaTheme="minorHAnsi" w:hAnsi="Arial" w:cs="Arial"/>
                <w:sz w:val="22"/>
                <w:szCs w:val="22"/>
              </w:rPr>
            </w:pPr>
          </w:p>
        </w:tc>
        <w:tc>
          <w:tcPr>
            <w:tcW w:w="1959" w:type="dxa"/>
            <w:tcBorders>
              <w:top w:val="single" w:sz="4" w:space="0" w:color="auto"/>
              <w:left w:val="single" w:sz="4" w:space="0" w:color="auto"/>
              <w:bottom w:val="single" w:sz="4" w:space="0" w:color="auto"/>
              <w:right w:val="single" w:sz="4" w:space="0" w:color="auto"/>
            </w:tcBorders>
          </w:tcPr>
          <w:p w14:paraId="30CAF47A" w14:textId="77777777" w:rsidR="00C41A7D" w:rsidRPr="00C41A7D" w:rsidRDefault="00C41A7D">
            <w:pPr>
              <w:rPr>
                <w:rFonts w:ascii="Arial" w:hAnsi="Arial" w:cs="Arial"/>
                <w:i/>
                <w:color w:val="808080" w:themeColor="background1" w:themeShade="80"/>
                <w:sz w:val="22"/>
                <w:szCs w:val="22"/>
              </w:rPr>
            </w:pPr>
            <w:r w:rsidRPr="00C41A7D">
              <w:rPr>
                <w:rFonts w:ascii="Arial" w:hAnsi="Arial" w:cs="Arial"/>
                <w:i/>
                <w:color w:val="808080" w:themeColor="background1" w:themeShade="80"/>
                <w:sz w:val="22"/>
                <w:szCs w:val="22"/>
              </w:rPr>
              <w:t>Date of review</w:t>
            </w:r>
          </w:p>
          <w:p w14:paraId="7511CC27" w14:textId="77777777" w:rsidR="00C41A7D" w:rsidRPr="00C41A7D" w:rsidRDefault="00C41A7D">
            <w:pPr>
              <w:rPr>
                <w:rFonts w:ascii="Arial" w:eastAsiaTheme="minorHAnsi" w:hAnsi="Arial" w:cs="Arial"/>
                <w:sz w:val="22"/>
                <w:szCs w:val="22"/>
              </w:rPr>
            </w:pPr>
          </w:p>
        </w:tc>
        <w:tc>
          <w:tcPr>
            <w:tcW w:w="3101" w:type="dxa"/>
            <w:tcBorders>
              <w:top w:val="single" w:sz="4" w:space="0" w:color="auto"/>
              <w:left w:val="single" w:sz="4" w:space="0" w:color="auto"/>
              <w:bottom w:val="single" w:sz="4" w:space="0" w:color="auto"/>
              <w:right w:val="single" w:sz="4" w:space="0" w:color="auto"/>
            </w:tcBorders>
          </w:tcPr>
          <w:p w14:paraId="46D1DA38" w14:textId="77777777" w:rsidR="00C41A7D" w:rsidRPr="00C41A7D" w:rsidRDefault="00C41A7D">
            <w:pPr>
              <w:rPr>
                <w:rFonts w:ascii="Arial" w:eastAsiaTheme="minorHAnsi" w:hAnsi="Arial" w:cs="Arial"/>
                <w:sz w:val="22"/>
                <w:szCs w:val="22"/>
              </w:rPr>
            </w:pPr>
          </w:p>
        </w:tc>
      </w:tr>
      <w:tr w:rsidR="00C41A7D" w14:paraId="7B01B69E" w14:textId="77777777" w:rsidTr="00C41A7D">
        <w:trPr>
          <w:trHeight w:val="267"/>
        </w:trPr>
        <w:tc>
          <w:tcPr>
            <w:tcW w:w="901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9FFF25D" w14:textId="77777777" w:rsidR="00C41A7D" w:rsidRPr="00C41A7D" w:rsidRDefault="00C41A7D">
            <w:pPr>
              <w:rPr>
                <w:rFonts w:ascii="Arial" w:hAnsi="Arial" w:cs="Arial"/>
                <w:sz w:val="22"/>
                <w:szCs w:val="22"/>
              </w:rPr>
            </w:pPr>
            <w:r w:rsidRPr="00C41A7D">
              <w:rPr>
                <w:rFonts w:ascii="Arial" w:hAnsi="Arial" w:cs="Arial"/>
                <w:b/>
                <w:i/>
                <w:sz w:val="22"/>
                <w:szCs w:val="22"/>
              </w:rPr>
              <w:t>Approval</w:t>
            </w:r>
          </w:p>
        </w:tc>
      </w:tr>
      <w:tr w:rsidR="00C41A7D" w14:paraId="65ABCEDD" w14:textId="77777777" w:rsidTr="00C41A7D">
        <w:trPr>
          <w:trHeight w:val="376"/>
        </w:trPr>
        <w:tc>
          <w:tcPr>
            <w:tcW w:w="3956" w:type="dxa"/>
            <w:tcBorders>
              <w:top w:val="single" w:sz="4" w:space="0" w:color="auto"/>
              <w:left w:val="single" w:sz="4" w:space="0" w:color="auto"/>
              <w:bottom w:val="single" w:sz="4" w:space="0" w:color="auto"/>
              <w:right w:val="single" w:sz="4" w:space="0" w:color="auto"/>
            </w:tcBorders>
            <w:hideMark/>
          </w:tcPr>
          <w:p w14:paraId="0BC7CDA1" w14:textId="77777777" w:rsidR="00C41A7D" w:rsidRPr="00C41A7D" w:rsidRDefault="00C41A7D">
            <w:pPr>
              <w:rPr>
                <w:rFonts w:ascii="Arial" w:hAnsi="Arial" w:cs="Arial"/>
                <w:sz w:val="22"/>
                <w:szCs w:val="22"/>
              </w:rPr>
            </w:pPr>
            <w:r w:rsidRPr="00C41A7D">
              <w:rPr>
                <w:rFonts w:ascii="Arial" w:hAnsi="Arial" w:cs="Arial"/>
                <w:i/>
                <w:color w:val="808080" w:themeColor="background1" w:themeShade="80"/>
                <w:sz w:val="22"/>
                <w:szCs w:val="22"/>
              </w:rPr>
              <w:t>Indicate WP Lead/Co-lead(s) who approved</w:t>
            </w:r>
          </w:p>
        </w:tc>
        <w:tc>
          <w:tcPr>
            <w:tcW w:w="1959" w:type="dxa"/>
            <w:tcBorders>
              <w:top w:val="single" w:sz="4" w:space="0" w:color="auto"/>
              <w:left w:val="single" w:sz="4" w:space="0" w:color="auto"/>
              <w:bottom w:val="single" w:sz="4" w:space="0" w:color="auto"/>
              <w:right w:val="single" w:sz="4" w:space="0" w:color="auto"/>
            </w:tcBorders>
            <w:hideMark/>
          </w:tcPr>
          <w:p w14:paraId="0B284147" w14:textId="77777777" w:rsidR="00C41A7D" w:rsidRPr="00C41A7D" w:rsidRDefault="00C41A7D">
            <w:pPr>
              <w:rPr>
                <w:rFonts w:ascii="Arial" w:hAnsi="Arial" w:cs="Arial"/>
                <w:sz w:val="22"/>
                <w:szCs w:val="22"/>
                <w:lang w:val="fr-FR"/>
              </w:rPr>
            </w:pPr>
            <w:r w:rsidRPr="00C41A7D">
              <w:rPr>
                <w:rFonts w:ascii="Arial" w:hAnsi="Arial" w:cs="Arial"/>
                <w:i/>
                <w:color w:val="808080" w:themeColor="background1" w:themeShade="80"/>
                <w:sz w:val="22"/>
                <w:szCs w:val="22"/>
              </w:rPr>
              <w:t>Date of approval</w:t>
            </w:r>
          </w:p>
        </w:tc>
        <w:tc>
          <w:tcPr>
            <w:tcW w:w="3101" w:type="dxa"/>
            <w:tcBorders>
              <w:top w:val="single" w:sz="4" w:space="0" w:color="auto"/>
              <w:left w:val="single" w:sz="4" w:space="0" w:color="auto"/>
              <w:bottom w:val="single" w:sz="4" w:space="0" w:color="auto"/>
              <w:right w:val="single" w:sz="4" w:space="0" w:color="auto"/>
            </w:tcBorders>
          </w:tcPr>
          <w:p w14:paraId="225D0594" w14:textId="77777777" w:rsidR="00C41A7D" w:rsidRPr="00C41A7D" w:rsidRDefault="00C41A7D">
            <w:pPr>
              <w:rPr>
                <w:rFonts w:ascii="Arial" w:eastAsiaTheme="minorHAnsi" w:hAnsi="Arial" w:cs="Arial"/>
                <w:sz w:val="22"/>
                <w:szCs w:val="22"/>
                <w:lang w:val="fr-FR"/>
              </w:rPr>
            </w:pPr>
          </w:p>
        </w:tc>
      </w:tr>
    </w:tbl>
    <w:p w14:paraId="7BB84AC7" w14:textId="77777777" w:rsidR="00C41A7D" w:rsidRPr="007321D2" w:rsidRDefault="00C41A7D" w:rsidP="00666B59">
      <w:pPr>
        <w:rPr>
          <w:rFonts w:ascii="Arial" w:hAnsi="Arial" w:cs="Arial"/>
          <w:sz w:val="22"/>
          <w:szCs w:val="22"/>
        </w:rPr>
      </w:pPr>
    </w:p>
    <w:sectPr w:rsidR="00C41A7D" w:rsidRPr="007321D2" w:rsidSect="0087028A">
      <w:headerReference w:type="default" r:id="rId14"/>
      <w:footerReference w:type="default" r:id="rId15"/>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5B5BD" w14:textId="77777777" w:rsidR="000B6EA4" w:rsidRDefault="000B6EA4" w:rsidP="00082D86">
      <w:r>
        <w:separator/>
      </w:r>
    </w:p>
  </w:endnote>
  <w:endnote w:type="continuationSeparator" w:id="0">
    <w:p w14:paraId="376F554B" w14:textId="77777777" w:rsidR="000B6EA4" w:rsidRDefault="000B6EA4" w:rsidP="00082D86">
      <w:r>
        <w:continuationSeparator/>
      </w:r>
    </w:p>
  </w:endnote>
  <w:endnote w:type="continuationNotice" w:id="1">
    <w:p w14:paraId="280C452F" w14:textId="77777777" w:rsidR="000B6EA4" w:rsidRDefault="000B6E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2D8B6" w14:textId="1B97C25A" w:rsidR="00DD16FF" w:rsidRPr="002510C1" w:rsidRDefault="00E27749">
    <w:pPr>
      <w:pStyle w:val="Footer"/>
      <w:rPr>
        <w:rFonts w:asciiTheme="minorHAnsi" w:hAnsiTheme="minorHAnsi"/>
        <w:sz w:val="22"/>
        <w:szCs w:val="22"/>
        <w:lang w:val="fr-FR"/>
      </w:rPr>
    </w:pPr>
    <w:r>
      <w:rPr>
        <w:noProof/>
      </w:rPr>
      <w:drawing>
        <wp:inline distT="0" distB="0" distL="0" distR="0" wp14:anchorId="2807C778" wp14:editId="4D7C1917">
          <wp:extent cx="838200" cy="295275"/>
          <wp:effectExtent l="0" t="0" r="0"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E2A0D" w14:textId="77777777" w:rsidR="000B6EA4" w:rsidRDefault="000B6EA4" w:rsidP="00082D86">
      <w:r>
        <w:separator/>
      </w:r>
    </w:p>
  </w:footnote>
  <w:footnote w:type="continuationSeparator" w:id="0">
    <w:p w14:paraId="098B24F8" w14:textId="77777777" w:rsidR="000B6EA4" w:rsidRDefault="000B6EA4" w:rsidP="00082D86">
      <w:r>
        <w:continuationSeparator/>
      </w:r>
    </w:p>
  </w:footnote>
  <w:footnote w:type="continuationNotice" w:id="1">
    <w:p w14:paraId="761DC881" w14:textId="77777777" w:rsidR="000B6EA4" w:rsidRDefault="000B6E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08" w:type="dxa"/>
      <w:tblLook w:val="04A0" w:firstRow="1" w:lastRow="0" w:firstColumn="1" w:lastColumn="0" w:noHBand="0" w:noVBand="1"/>
    </w:tblPr>
    <w:tblGrid>
      <w:gridCol w:w="8908"/>
    </w:tblGrid>
    <w:tr w:rsidR="008344B1" w:rsidRPr="00951F5A" w14:paraId="58E1643C" w14:textId="77777777" w:rsidTr="00034318">
      <w:trPr>
        <w:trHeight w:val="268"/>
      </w:trPr>
      <w:tc>
        <w:tcPr>
          <w:tcW w:w="10490" w:type="dxa"/>
        </w:tcPr>
        <w:p w14:paraId="21E56F53" w14:textId="04DF2867" w:rsidR="008344B1" w:rsidRPr="00FE283D" w:rsidRDefault="00EF6245" w:rsidP="008B1AAB">
          <w:pPr>
            <w:pStyle w:val="Footer"/>
            <w:rPr>
              <w:rFonts w:asciiTheme="minorHAnsi" w:hAnsiTheme="minorHAnsi"/>
              <w:lang w:val="fr-FR"/>
            </w:rPr>
          </w:pPr>
          <w:r w:rsidRPr="00951F5A">
            <w:rPr>
              <w:rFonts w:asciiTheme="minorBidi" w:hAnsiTheme="minorBidi" w:cstheme="minorBidi"/>
              <w:b/>
              <w:bCs/>
              <w:lang w:val="fr-FR"/>
            </w:rPr>
            <w:t>SOP</w:t>
          </w:r>
          <w:r w:rsidR="002D1C39" w:rsidRPr="00951F5A">
            <w:rPr>
              <w:rFonts w:asciiTheme="minorBidi" w:hAnsiTheme="minorBidi" w:cstheme="minorBidi"/>
              <w:b/>
              <w:bCs/>
              <w:lang w:val="fr-FR"/>
            </w:rPr>
            <w:t>-WP3-09</w:t>
          </w:r>
          <w:r w:rsidR="00ED2924" w:rsidRPr="00951F5A">
            <w:rPr>
              <w:rFonts w:asciiTheme="minorBidi" w:hAnsiTheme="minorBidi" w:cstheme="minorBidi"/>
              <w:b/>
              <w:bCs/>
              <w:lang w:val="fr-FR"/>
            </w:rPr>
            <w:t xml:space="preserve">-SAE </w:t>
          </w:r>
          <w:r w:rsidR="00ED2924" w:rsidRPr="00E27749">
            <w:rPr>
              <w:rFonts w:asciiTheme="minorBidi" w:hAnsiTheme="minorBidi" w:cstheme="minorBidi"/>
              <w:b/>
              <w:bCs/>
              <w:lang w:val="fr-FR"/>
            </w:rPr>
            <w:t>Reconciliation</w:t>
          </w:r>
          <w:r w:rsidR="00951F5A" w:rsidRPr="00E27749">
            <w:rPr>
              <w:rFonts w:asciiTheme="minorBidi" w:hAnsiTheme="minorBidi" w:cstheme="minorBidi"/>
              <w:b/>
              <w:bCs/>
              <w:lang w:val="fr-FR"/>
            </w:rPr>
            <w:t>-</w:t>
          </w:r>
          <w:r w:rsidRPr="00951F5A">
            <w:rPr>
              <w:rFonts w:asciiTheme="minorBidi" w:hAnsiTheme="minorBidi" w:cstheme="minorBidi"/>
              <w:b/>
              <w:bCs/>
              <w:lang w:val="fr-FR"/>
            </w:rPr>
            <w:t>v</w:t>
          </w:r>
          <w:r w:rsidR="00C41A7D" w:rsidRPr="00951F5A">
            <w:rPr>
              <w:rFonts w:asciiTheme="minorBidi" w:hAnsiTheme="minorBidi" w:cstheme="minorBidi"/>
              <w:b/>
              <w:bCs/>
              <w:lang w:val="fr-FR"/>
            </w:rPr>
            <w:t>2</w:t>
          </w:r>
          <w:r w:rsidR="00ED2924" w:rsidRPr="00951F5A">
            <w:rPr>
              <w:rFonts w:asciiTheme="minorBidi" w:hAnsiTheme="minorBidi" w:cstheme="minorBidi"/>
              <w:b/>
              <w:bCs/>
              <w:lang w:val="fr-FR"/>
            </w:rPr>
            <w:t>.0-</w:t>
          </w:r>
          <w:r w:rsidRPr="00951F5A">
            <w:rPr>
              <w:rFonts w:asciiTheme="minorBidi" w:hAnsiTheme="minorBidi" w:cstheme="minorBidi"/>
              <w:b/>
              <w:bCs/>
              <w:lang w:val="fr-FR"/>
            </w:rPr>
            <w:t>EN</w:t>
          </w:r>
          <w:r w:rsidR="00ED2924" w:rsidRPr="00951F5A">
            <w:rPr>
              <w:rFonts w:asciiTheme="minorBidi" w:hAnsiTheme="minorBidi" w:cstheme="minorBidi"/>
              <w:b/>
              <w:bCs/>
              <w:lang w:val="fr-FR"/>
            </w:rPr>
            <w:t>-</w:t>
          </w:r>
          <w:r w:rsidR="00C41A7D" w:rsidRPr="00951F5A">
            <w:rPr>
              <w:rFonts w:asciiTheme="minorBidi" w:hAnsiTheme="minorBidi" w:cstheme="minorBidi"/>
              <w:b/>
              <w:bCs/>
              <w:lang w:val="fr-FR"/>
            </w:rPr>
            <w:t>20JUN2022</w:t>
          </w:r>
          <w:r w:rsidR="008B1AAB" w:rsidRPr="00FE283D">
            <w:rPr>
              <w:rFonts w:asciiTheme="minorHAnsi" w:hAnsiTheme="minorHAnsi"/>
              <w:lang w:val="fr-FR"/>
            </w:rPr>
            <w:tab/>
          </w:r>
          <w:r w:rsidR="008344B1" w:rsidRPr="00E27749">
            <w:rPr>
              <w:rFonts w:ascii="Arial" w:hAnsi="Arial" w:cs="Arial"/>
              <w:lang w:val="fr-FR"/>
            </w:rPr>
            <w:t xml:space="preserve">Page </w:t>
          </w:r>
          <w:r w:rsidR="008344B1" w:rsidRPr="00E27749">
            <w:rPr>
              <w:rFonts w:ascii="Arial" w:hAnsi="Arial" w:cs="Arial"/>
              <w:b/>
              <w:lang w:val="nl-BE"/>
            </w:rPr>
            <w:fldChar w:fldCharType="begin"/>
          </w:r>
          <w:r w:rsidR="008344B1" w:rsidRPr="00E27749">
            <w:rPr>
              <w:rFonts w:ascii="Arial" w:hAnsi="Arial" w:cs="Arial"/>
              <w:b/>
              <w:lang w:val="fr-FR"/>
            </w:rPr>
            <w:instrText xml:space="preserve"> PAGE  \* Arabic  \* MERGEFORMAT </w:instrText>
          </w:r>
          <w:r w:rsidR="008344B1" w:rsidRPr="00E27749">
            <w:rPr>
              <w:rFonts w:ascii="Arial" w:hAnsi="Arial" w:cs="Arial"/>
              <w:b/>
              <w:lang w:val="nl-BE"/>
            </w:rPr>
            <w:fldChar w:fldCharType="separate"/>
          </w:r>
          <w:r w:rsidR="008B1AAB" w:rsidRPr="00E27749">
            <w:rPr>
              <w:rFonts w:ascii="Arial" w:hAnsi="Arial" w:cs="Arial"/>
              <w:b/>
              <w:noProof/>
              <w:lang w:val="fr-FR"/>
            </w:rPr>
            <w:t>1</w:t>
          </w:r>
          <w:r w:rsidR="008344B1" w:rsidRPr="00E27749">
            <w:rPr>
              <w:rFonts w:ascii="Arial" w:hAnsi="Arial" w:cs="Arial"/>
              <w:b/>
              <w:lang w:val="nl-BE"/>
            </w:rPr>
            <w:fldChar w:fldCharType="end"/>
          </w:r>
          <w:r w:rsidR="008344B1" w:rsidRPr="00E27749">
            <w:rPr>
              <w:rFonts w:ascii="Arial" w:hAnsi="Arial" w:cs="Arial"/>
              <w:lang w:val="fr-FR"/>
            </w:rPr>
            <w:t xml:space="preserve"> of </w:t>
          </w:r>
          <w:r w:rsidR="00DC5819" w:rsidRPr="00E27749">
            <w:rPr>
              <w:rFonts w:ascii="Arial" w:hAnsi="Arial" w:cs="Arial"/>
            </w:rPr>
            <w:fldChar w:fldCharType="begin"/>
          </w:r>
          <w:r w:rsidR="00DC5819" w:rsidRPr="00E27749">
            <w:rPr>
              <w:rFonts w:ascii="Arial" w:hAnsi="Arial" w:cs="Arial"/>
              <w:lang w:val="fr-FR"/>
            </w:rPr>
            <w:instrText xml:space="preserve"> NUMPAGES  \* Arabic  \* MERGEFORMAT </w:instrText>
          </w:r>
          <w:r w:rsidR="00DC5819" w:rsidRPr="00E27749">
            <w:rPr>
              <w:rFonts w:ascii="Arial" w:hAnsi="Arial" w:cs="Arial"/>
            </w:rPr>
            <w:fldChar w:fldCharType="separate"/>
          </w:r>
          <w:r w:rsidR="008B1AAB" w:rsidRPr="00E27749">
            <w:rPr>
              <w:rFonts w:ascii="Arial" w:hAnsi="Arial" w:cs="Arial"/>
              <w:b/>
              <w:noProof/>
              <w:lang w:val="fr-FR"/>
            </w:rPr>
            <w:t>2</w:t>
          </w:r>
          <w:r w:rsidR="00DC5819" w:rsidRPr="00E27749">
            <w:rPr>
              <w:rFonts w:ascii="Arial" w:hAnsi="Arial" w:cs="Arial"/>
              <w:b/>
              <w:noProof/>
            </w:rPr>
            <w:fldChar w:fldCharType="end"/>
          </w:r>
        </w:p>
      </w:tc>
    </w:tr>
  </w:tbl>
  <w:p w14:paraId="34CE0A41" w14:textId="77777777" w:rsidR="008344B1" w:rsidRPr="00FE283D" w:rsidRDefault="008344B1">
    <w:pPr>
      <w:pStyle w:val="Header"/>
      <w:rPr>
        <w:rFonts w:asciiTheme="minorHAnsi" w:hAnsiTheme="minorHAnsi"/>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71FA9"/>
    <w:multiLevelType w:val="hybridMultilevel"/>
    <w:tmpl w:val="B9CECDD0"/>
    <w:lvl w:ilvl="0" w:tplc="08130001">
      <w:start w:val="1"/>
      <w:numFmt w:val="bullet"/>
      <w:lvlText w:val=""/>
      <w:lvlJc w:val="left"/>
      <w:pPr>
        <w:ind w:left="0" w:hanging="360"/>
      </w:pPr>
      <w:rPr>
        <w:rFonts w:ascii="Symbol" w:hAnsi="Symbol" w:hint="default"/>
      </w:rPr>
    </w:lvl>
    <w:lvl w:ilvl="1" w:tplc="08130003" w:tentative="1">
      <w:start w:val="1"/>
      <w:numFmt w:val="bullet"/>
      <w:lvlText w:val="o"/>
      <w:lvlJc w:val="left"/>
      <w:pPr>
        <w:ind w:left="720" w:hanging="360"/>
      </w:pPr>
      <w:rPr>
        <w:rFonts w:ascii="Courier New" w:hAnsi="Courier New" w:cs="Courier New" w:hint="default"/>
      </w:rPr>
    </w:lvl>
    <w:lvl w:ilvl="2" w:tplc="08130005" w:tentative="1">
      <w:start w:val="1"/>
      <w:numFmt w:val="bullet"/>
      <w:lvlText w:val=""/>
      <w:lvlJc w:val="left"/>
      <w:pPr>
        <w:ind w:left="1440" w:hanging="360"/>
      </w:pPr>
      <w:rPr>
        <w:rFonts w:ascii="Wingdings" w:hAnsi="Wingdings" w:hint="default"/>
      </w:rPr>
    </w:lvl>
    <w:lvl w:ilvl="3" w:tplc="08130001" w:tentative="1">
      <w:start w:val="1"/>
      <w:numFmt w:val="bullet"/>
      <w:lvlText w:val=""/>
      <w:lvlJc w:val="left"/>
      <w:pPr>
        <w:ind w:left="2160" w:hanging="360"/>
      </w:pPr>
      <w:rPr>
        <w:rFonts w:ascii="Symbol" w:hAnsi="Symbol" w:hint="default"/>
      </w:rPr>
    </w:lvl>
    <w:lvl w:ilvl="4" w:tplc="08130003" w:tentative="1">
      <w:start w:val="1"/>
      <w:numFmt w:val="bullet"/>
      <w:lvlText w:val="o"/>
      <w:lvlJc w:val="left"/>
      <w:pPr>
        <w:ind w:left="2880" w:hanging="360"/>
      </w:pPr>
      <w:rPr>
        <w:rFonts w:ascii="Courier New" w:hAnsi="Courier New" w:cs="Courier New" w:hint="default"/>
      </w:rPr>
    </w:lvl>
    <w:lvl w:ilvl="5" w:tplc="08130005" w:tentative="1">
      <w:start w:val="1"/>
      <w:numFmt w:val="bullet"/>
      <w:lvlText w:val=""/>
      <w:lvlJc w:val="left"/>
      <w:pPr>
        <w:ind w:left="3600" w:hanging="360"/>
      </w:pPr>
      <w:rPr>
        <w:rFonts w:ascii="Wingdings" w:hAnsi="Wingdings" w:hint="default"/>
      </w:rPr>
    </w:lvl>
    <w:lvl w:ilvl="6" w:tplc="08130001" w:tentative="1">
      <w:start w:val="1"/>
      <w:numFmt w:val="bullet"/>
      <w:lvlText w:val=""/>
      <w:lvlJc w:val="left"/>
      <w:pPr>
        <w:ind w:left="4320" w:hanging="360"/>
      </w:pPr>
      <w:rPr>
        <w:rFonts w:ascii="Symbol" w:hAnsi="Symbol" w:hint="default"/>
      </w:rPr>
    </w:lvl>
    <w:lvl w:ilvl="7" w:tplc="08130003" w:tentative="1">
      <w:start w:val="1"/>
      <w:numFmt w:val="bullet"/>
      <w:lvlText w:val="o"/>
      <w:lvlJc w:val="left"/>
      <w:pPr>
        <w:ind w:left="5040" w:hanging="360"/>
      </w:pPr>
      <w:rPr>
        <w:rFonts w:ascii="Courier New" w:hAnsi="Courier New" w:cs="Courier New" w:hint="default"/>
      </w:rPr>
    </w:lvl>
    <w:lvl w:ilvl="8" w:tplc="08130005" w:tentative="1">
      <w:start w:val="1"/>
      <w:numFmt w:val="bullet"/>
      <w:lvlText w:val=""/>
      <w:lvlJc w:val="left"/>
      <w:pPr>
        <w:ind w:left="5760" w:hanging="360"/>
      </w:pPr>
      <w:rPr>
        <w:rFonts w:ascii="Wingdings" w:hAnsi="Wingdings" w:hint="default"/>
      </w:rPr>
    </w:lvl>
  </w:abstractNum>
  <w:abstractNum w:abstractNumId="1" w15:restartNumberingAfterBreak="0">
    <w:nsid w:val="0AD65DD4"/>
    <w:multiLevelType w:val="hybridMultilevel"/>
    <w:tmpl w:val="C1F8D79A"/>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 w15:restartNumberingAfterBreak="0">
    <w:nsid w:val="0D8A2B9F"/>
    <w:multiLevelType w:val="hybridMultilevel"/>
    <w:tmpl w:val="3886EDE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F252B1F"/>
    <w:multiLevelType w:val="hybridMultilevel"/>
    <w:tmpl w:val="87A4FD60"/>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C4E0986"/>
    <w:multiLevelType w:val="hybridMultilevel"/>
    <w:tmpl w:val="64266202"/>
    <w:lvl w:ilvl="0" w:tplc="854E640A">
      <w:start w:val="3"/>
      <w:numFmt w:val="bullet"/>
      <w:lvlText w:val=""/>
      <w:lvlJc w:val="left"/>
      <w:pPr>
        <w:ind w:left="720" w:hanging="360"/>
      </w:pPr>
      <w:rPr>
        <w:rFonts w:ascii="Symbol" w:eastAsia="Times New Roman"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D1E2C14"/>
    <w:multiLevelType w:val="hybridMultilevel"/>
    <w:tmpl w:val="59E4FE5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5E57D18"/>
    <w:multiLevelType w:val="hybridMultilevel"/>
    <w:tmpl w:val="AB7679A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B1C11B0"/>
    <w:multiLevelType w:val="hybridMultilevel"/>
    <w:tmpl w:val="86C81EA6"/>
    <w:lvl w:ilvl="0" w:tplc="1AFA28F2">
      <w:start w:val="1"/>
      <w:numFmt w:val="lowerLetter"/>
      <w:lvlText w:val="%1."/>
      <w:lvlJc w:val="left"/>
      <w:pPr>
        <w:ind w:left="720" w:hanging="360"/>
      </w:pPr>
    </w:lvl>
    <w:lvl w:ilvl="1" w:tplc="23FA825E">
      <w:start w:val="1"/>
      <w:numFmt w:val="lowerLetter"/>
      <w:lvlText w:val="%2."/>
      <w:lvlJc w:val="left"/>
      <w:pPr>
        <w:ind w:left="1440" w:hanging="360"/>
      </w:pPr>
    </w:lvl>
    <w:lvl w:ilvl="2" w:tplc="B8367522">
      <w:start w:val="1"/>
      <w:numFmt w:val="lowerRoman"/>
      <w:lvlText w:val="%3."/>
      <w:lvlJc w:val="right"/>
      <w:pPr>
        <w:ind w:left="2160" w:hanging="180"/>
      </w:pPr>
    </w:lvl>
    <w:lvl w:ilvl="3" w:tplc="F2D6AAA0">
      <w:start w:val="1"/>
      <w:numFmt w:val="decimal"/>
      <w:lvlText w:val="%4."/>
      <w:lvlJc w:val="left"/>
      <w:pPr>
        <w:ind w:left="2880" w:hanging="360"/>
      </w:pPr>
    </w:lvl>
    <w:lvl w:ilvl="4" w:tplc="3E06B706">
      <w:start w:val="1"/>
      <w:numFmt w:val="lowerLetter"/>
      <w:lvlText w:val="%5."/>
      <w:lvlJc w:val="left"/>
      <w:pPr>
        <w:ind w:left="3600" w:hanging="360"/>
      </w:pPr>
    </w:lvl>
    <w:lvl w:ilvl="5" w:tplc="FA367F36">
      <w:start w:val="1"/>
      <w:numFmt w:val="lowerRoman"/>
      <w:lvlText w:val="%6."/>
      <w:lvlJc w:val="right"/>
      <w:pPr>
        <w:ind w:left="4320" w:hanging="180"/>
      </w:pPr>
    </w:lvl>
    <w:lvl w:ilvl="6" w:tplc="A5588DD4">
      <w:start w:val="1"/>
      <w:numFmt w:val="decimal"/>
      <w:lvlText w:val="%7."/>
      <w:lvlJc w:val="left"/>
      <w:pPr>
        <w:ind w:left="5040" w:hanging="360"/>
      </w:pPr>
    </w:lvl>
    <w:lvl w:ilvl="7" w:tplc="86B420EA">
      <w:start w:val="1"/>
      <w:numFmt w:val="lowerLetter"/>
      <w:lvlText w:val="%8."/>
      <w:lvlJc w:val="left"/>
      <w:pPr>
        <w:ind w:left="5760" w:hanging="360"/>
      </w:pPr>
    </w:lvl>
    <w:lvl w:ilvl="8" w:tplc="01F08DB8">
      <w:start w:val="1"/>
      <w:numFmt w:val="lowerRoman"/>
      <w:lvlText w:val="%9."/>
      <w:lvlJc w:val="right"/>
      <w:pPr>
        <w:ind w:left="6480" w:hanging="180"/>
      </w:pPr>
    </w:lvl>
  </w:abstractNum>
  <w:abstractNum w:abstractNumId="8" w15:restartNumberingAfterBreak="0">
    <w:nsid w:val="2D8574CF"/>
    <w:multiLevelType w:val="hybridMultilevel"/>
    <w:tmpl w:val="F8A0BE7C"/>
    <w:lvl w:ilvl="0" w:tplc="D67A86A6">
      <w:start w:val="1"/>
      <w:numFmt w:val="bullet"/>
      <w:lvlText w:val=""/>
      <w:lvlJc w:val="left"/>
      <w:pPr>
        <w:tabs>
          <w:tab w:val="num" w:pos="680"/>
        </w:tabs>
        <w:ind w:left="680" w:hanging="396"/>
      </w:pPr>
      <w:rPr>
        <w:rFonts w:ascii="Symbol" w:hAnsi="Symbol" w:hint="default"/>
        <w:sz w:val="20"/>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D902B03"/>
    <w:multiLevelType w:val="hybridMultilevel"/>
    <w:tmpl w:val="AEA0AB3C"/>
    <w:lvl w:ilvl="0" w:tplc="9DF2CC2C">
      <w:start w:val="1"/>
      <w:numFmt w:val="decimal"/>
      <w:lvlText w:val="%1)"/>
      <w:lvlJc w:val="left"/>
      <w:pPr>
        <w:ind w:left="720" w:hanging="360"/>
      </w:pPr>
      <w:rPr>
        <w:rFonts w:ascii="Arial" w:hAnsi="Arial" w:cs="Arial" w:hint="default"/>
        <w:b w:val="0"/>
        <w:sz w:val="22"/>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2E0954A6"/>
    <w:multiLevelType w:val="hybridMultilevel"/>
    <w:tmpl w:val="4634B0D8"/>
    <w:lvl w:ilvl="0" w:tplc="6C9C1DAC">
      <w:start w:val="3"/>
      <w:numFmt w:val="bullet"/>
      <w:lvlText w:val=""/>
      <w:lvlJc w:val="left"/>
      <w:pPr>
        <w:ind w:left="720" w:hanging="360"/>
      </w:pPr>
      <w:rPr>
        <w:rFonts w:ascii="Symbol" w:eastAsia="Times New Roman" w:hAnsi="Symbol" w:cs="Arial" w:hint="default"/>
      </w:rPr>
    </w:lvl>
    <w:lvl w:ilvl="1" w:tplc="3F448A36">
      <w:numFmt w:val="bullet"/>
      <w:lvlText w:val="·"/>
      <w:lvlJc w:val="left"/>
      <w:pPr>
        <w:ind w:left="1440" w:hanging="360"/>
      </w:pPr>
      <w:rPr>
        <w:rFonts w:ascii="Arial" w:eastAsia="Times New Roman" w:hAnsi="Arial" w:cs="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E703B28"/>
    <w:multiLevelType w:val="hybridMultilevel"/>
    <w:tmpl w:val="5894C32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F51522A"/>
    <w:multiLevelType w:val="hybridMultilevel"/>
    <w:tmpl w:val="3876606E"/>
    <w:lvl w:ilvl="0" w:tplc="65887948">
      <w:start w:val="3"/>
      <w:numFmt w:val="bullet"/>
      <w:lvlText w:val=""/>
      <w:lvlJc w:val="left"/>
      <w:pPr>
        <w:ind w:left="360" w:hanging="360"/>
      </w:pPr>
      <w:rPr>
        <w:rFonts w:ascii="Symbol" w:eastAsia="Times New Roman"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FD91D9D"/>
    <w:multiLevelType w:val="hybridMultilevel"/>
    <w:tmpl w:val="D2B02CF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5962828"/>
    <w:multiLevelType w:val="hybridMultilevel"/>
    <w:tmpl w:val="83D61FF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5BE2838"/>
    <w:multiLevelType w:val="hybridMultilevel"/>
    <w:tmpl w:val="32AE8E1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59BD770A"/>
    <w:multiLevelType w:val="hybridMultilevel"/>
    <w:tmpl w:val="180AAFB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5E825E89"/>
    <w:multiLevelType w:val="hybridMultilevel"/>
    <w:tmpl w:val="5850682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CED7F2D"/>
    <w:multiLevelType w:val="multilevel"/>
    <w:tmpl w:val="D4D23D78"/>
    <w:lvl w:ilvl="0">
      <w:start w:val="1"/>
      <w:numFmt w:val="decimal"/>
      <w:suff w:val="space"/>
      <w:lvlText w:val="%1."/>
      <w:lvlJc w:val="left"/>
      <w:pPr>
        <w:ind w:left="720" w:hanging="360"/>
      </w:pPr>
      <w:rPr>
        <w:rFonts w:ascii="Arial" w:hAnsi="Arial" w:cs="Arial" w:hint="default"/>
        <w:b/>
        <w:color w:val="365F91" w:themeColor="accent1" w:themeShade="BF"/>
        <w:sz w:val="24"/>
      </w:rPr>
    </w:lvl>
    <w:lvl w:ilvl="1">
      <w:start w:val="1"/>
      <w:numFmt w:val="decimal"/>
      <w:suff w:val="space"/>
      <w:lvlText w:val="%1.%2."/>
      <w:lvlJc w:val="left"/>
      <w:pPr>
        <w:ind w:left="0" w:firstLine="0"/>
      </w:pPr>
      <w:rPr>
        <w:color w:val="365F91" w:themeColor="accent1" w:themeShade="BF"/>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7303006A"/>
    <w:multiLevelType w:val="hybridMultilevel"/>
    <w:tmpl w:val="8AF42B4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15:restartNumberingAfterBreak="0">
    <w:nsid w:val="7D934283"/>
    <w:multiLevelType w:val="hybridMultilevel"/>
    <w:tmpl w:val="5DC0203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632859033">
    <w:abstractNumId w:val="7"/>
  </w:num>
  <w:num w:numId="2" w16cid:durableId="121383895">
    <w:abstractNumId w:val="0"/>
  </w:num>
  <w:num w:numId="3" w16cid:durableId="1863737606">
    <w:abstractNumId w:val="15"/>
  </w:num>
  <w:num w:numId="4" w16cid:durableId="1315600460">
    <w:abstractNumId w:val="20"/>
  </w:num>
  <w:num w:numId="5" w16cid:durableId="2122413535">
    <w:abstractNumId w:val="5"/>
  </w:num>
  <w:num w:numId="6" w16cid:durableId="1776752207">
    <w:abstractNumId w:val="13"/>
  </w:num>
  <w:num w:numId="7" w16cid:durableId="463428199">
    <w:abstractNumId w:val="9"/>
  </w:num>
  <w:num w:numId="8" w16cid:durableId="1307321186">
    <w:abstractNumId w:val="16"/>
  </w:num>
  <w:num w:numId="9" w16cid:durableId="462695345">
    <w:abstractNumId w:val="14"/>
  </w:num>
  <w:num w:numId="10" w16cid:durableId="30219667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68234312">
    <w:abstractNumId w:val="11"/>
  </w:num>
  <w:num w:numId="12" w16cid:durableId="1992635239">
    <w:abstractNumId w:val="10"/>
  </w:num>
  <w:num w:numId="13" w16cid:durableId="957642455">
    <w:abstractNumId w:val="12"/>
  </w:num>
  <w:num w:numId="14" w16cid:durableId="1648701974">
    <w:abstractNumId w:val="4"/>
  </w:num>
  <w:num w:numId="15" w16cid:durableId="549223132">
    <w:abstractNumId w:val="19"/>
  </w:num>
  <w:num w:numId="16" w16cid:durableId="962156519">
    <w:abstractNumId w:val="17"/>
  </w:num>
  <w:num w:numId="17" w16cid:durableId="64039752">
    <w:abstractNumId w:val="2"/>
  </w:num>
  <w:num w:numId="18" w16cid:durableId="1010642525">
    <w:abstractNumId w:val="6"/>
  </w:num>
  <w:num w:numId="19" w16cid:durableId="36443020">
    <w:abstractNumId w:val="3"/>
  </w:num>
  <w:num w:numId="20" w16cid:durableId="1593313761">
    <w:abstractNumId w:val="1"/>
  </w:num>
  <w:num w:numId="21" w16cid:durableId="513737361">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nne Landuyt">
    <w15:presenceInfo w15:providerId="AD" w15:userId="S::hlanduyt@itg.be::77a94f1b-64cf-4b65-a6b0-33a8c8d63c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753"/>
    <w:rsid w:val="00001A96"/>
    <w:rsid w:val="00007DCC"/>
    <w:rsid w:val="00013F2F"/>
    <w:rsid w:val="00017ED6"/>
    <w:rsid w:val="00021FAE"/>
    <w:rsid w:val="00026E45"/>
    <w:rsid w:val="0003267B"/>
    <w:rsid w:val="00033259"/>
    <w:rsid w:val="0003344E"/>
    <w:rsid w:val="00034318"/>
    <w:rsid w:val="0003504B"/>
    <w:rsid w:val="0003631A"/>
    <w:rsid w:val="00037AC4"/>
    <w:rsid w:val="000456D2"/>
    <w:rsid w:val="00050381"/>
    <w:rsid w:val="0005270F"/>
    <w:rsid w:val="00052EDF"/>
    <w:rsid w:val="00054058"/>
    <w:rsid w:val="0005584E"/>
    <w:rsid w:val="000560AF"/>
    <w:rsid w:val="00064C73"/>
    <w:rsid w:val="0006774C"/>
    <w:rsid w:val="00072093"/>
    <w:rsid w:val="000725E9"/>
    <w:rsid w:val="00080BE5"/>
    <w:rsid w:val="00082D86"/>
    <w:rsid w:val="00084A6F"/>
    <w:rsid w:val="00095BE6"/>
    <w:rsid w:val="000A2B94"/>
    <w:rsid w:val="000A37BB"/>
    <w:rsid w:val="000B1306"/>
    <w:rsid w:val="000B319B"/>
    <w:rsid w:val="000B6EA4"/>
    <w:rsid w:val="000C2D3F"/>
    <w:rsid w:val="000C5423"/>
    <w:rsid w:val="000C6E49"/>
    <w:rsid w:val="000D2311"/>
    <w:rsid w:val="000E02CA"/>
    <w:rsid w:val="000E2355"/>
    <w:rsid w:val="000E67B1"/>
    <w:rsid w:val="000E6A96"/>
    <w:rsid w:val="000F2702"/>
    <w:rsid w:val="000F62BC"/>
    <w:rsid w:val="0010483A"/>
    <w:rsid w:val="00110D0E"/>
    <w:rsid w:val="00112BCD"/>
    <w:rsid w:val="0011316F"/>
    <w:rsid w:val="00132FBA"/>
    <w:rsid w:val="00132FDF"/>
    <w:rsid w:val="001330BE"/>
    <w:rsid w:val="00135C2D"/>
    <w:rsid w:val="00140E9B"/>
    <w:rsid w:val="00143789"/>
    <w:rsid w:val="00154449"/>
    <w:rsid w:val="00160E78"/>
    <w:rsid w:val="001622DF"/>
    <w:rsid w:val="00163E08"/>
    <w:rsid w:val="001655D5"/>
    <w:rsid w:val="001667D7"/>
    <w:rsid w:val="00166D88"/>
    <w:rsid w:val="0016745D"/>
    <w:rsid w:val="00171E2A"/>
    <w:rsid w:val="00174E07"/>
    <w:rsid w:val="00184051"/>
    <w:rsid w:val="00186BFF"/>
    <w:rsid w:val="001910CE"/>
    <w:rsid w:val="00196E3F"/>
    <w:rsid w:val="001A0646"/>
    <w:rsid w:val="001A50A1"/>
    <w:rsid w:val="001A52E9"/>
    <w:rsid w:val="001A6D13"/>
    <w:rsid w:val="001B0D37"/>
    <w:rsid w:val="001C6DF0"/>
    <w:rsid w:val="001C73DE"/>
    <w:rsid w:val="001C756C"/>
    <w:rsid w:val="001D3CC7"/>
    <w:rsid w:val="001D4EE9"/>
    <w:rsid w:val="001D751D"/>
    <w:rsid w:val="001D7AD9"/>
    <w:rsid w:val="001E42B0"/>
    <w:rsid w:val="001F015D"/>
    <w:rsid w:val="001F0DDB"/>
    <w:rsid w:val="001F55F5"/>
    <w:rsid w:val="00204064"/>
    <w:rsid w:val="00204947"/>
    <w:rsid w:val="00206285"/>
    <w:rsid w:val="002227C1"/>
    <w:rsid w:val="002240E9"/>
    <w:rsid w:val="0022442C"/>
    <w:rsid w:val="002262D4"/>
    <w:rsid w:val="00230635"/>
    <w:rsid w:val="00232C59"/>
    <w:rsid w:val="002350FC"/>
    <w:rsid w:val="002359B7"/>
    <w:rsid w:val="002365BD"/>
    <w:rsid w:val="0023714C"/>
    <w:rsid w:val="00244D53"/>
    <w:rsid w:val="002504A7"/>
    <w:rsid w:val="002510C1"/>
    <w:rsid w:val="0025116A"/>
    <w:rsid w:val="0026466B"/>
    <w:rsid w:val="00286226"/>
    <w:rsid w:val="002878D2"/>
    <w:rsid w:val="00287967"/>
    <w:rsid w:val="00295C96"/>
    <w:rsid w:val="002A3754"/>
    <w:rsid w:val="002A6DA8"/>
    <w:rsid w:val="002A7722"/>
    <w:rsid w:val="002B5662"/>
    <w:rsid w:val="002C24AF"/>
    <w:rsid w:val="002C2A1D"/>
    <w:rsid w:val="002D1C39"/>
    <w:rsid w:val="002D2104"/>
    <w:rsid w:val="002E011F"/>
    <w:rsid w:val="00301BE0"/>
    <w:rsid w:val="003101BF"/>
    <w:rsid w:val="00316D1B"/>
    <w:rsid w:val="00332C87"/>
    <w:rsid w:val="003447B5"/>
    <w:rsid w:val="00345F67"/>
    <w:rsid w:val="003466B6"/>
    <w:rsid w:val="003600EA"/>
    <w:rsid w:val="003626A3"/>
    <w:rsid w:val="00370A7F"/>
    <w:rsid w:val="00374A44"/>
    <w:rsid w:val="00375F15"/>
    <w:rsid w:val="00377E6D"/>
    <w:rsid w:val="00382E91"/>
    <w:rsid w:val="0038337D"/>
    <w:rsid w:val="00387F38"/>
    <w:rsid w:val="00391C08"/>
    <w:rsid w:val="003A023D"/>
    <w:rsid w:val="003A0496"/>
    <w:rsid w:val="003A295B"/>
    <w:rsid w:val="003A451C"/>
    <w:rsid w:val="003A5215"/>
    <w:rsid w:val="003A5455"/>
    <w:rsid w:val="003B04D3"/>
    <w:rsid w:val="003B173F"/>
    <w:rsid w:val="003B2753"/>
    <w:rsid w:val="003B7482"/>
    <w:rsid w:val="003C2A8D"/>
    <w:rsid w:val="003D4BFE"/>
    <w:rsid w:val="003E29E3"/>
    <w:rsid w:val="003E2B50"/>
    <w:rsid w:val="003E2FBE"/>
    <w:rsid w:val="003E775D"/>
    <w:rsid w:val="003F32EB"/>
    <w:rsid w:val="003F6114"/>
    <w:rsid w:val="004013BC"/>
    <w:rsid w:val="00403520"/>
    <w:rsid w:val="004168DB"/>
    <w:rsid w:val="00417865"/>
    <w:rsid w:val="00417A78"/>
    <w:rsid w:val="00417EE7"/>
    <w:rsid w:val="00420979"/>
    <w:rsid w:val="00421B58"/>
    <w:rsid w:val="00427E4D"/>
    <w:rsid w:val="004310A0"/>
    <w:rsid w:val="00434DD9"/>
    <w:rsid w:val="004404D0"/>
    <w:rsid w:val="004579BE"/>
    <w:rsid w:val="00460C01"/>
    <w:rsid w:val="00461A95"/>
    <w:rsid w:val="00481156"/>
    <w:rsid w:val="00493817"/>
    <w:rsid w:val="00494964"/>
    <w:rsid w:val="004978E5"/>
    <w:rsid w:val="004A3671"/>
    <w:rsid w:val="004A3FB4"/>
    <w:rsid w:val="004B2E1B"/>
    <w:rsid w:val="004B4534"/>
    <w:rsid w:val="004C1600"/>
    <w:rsid w:val="004C535C"/>
    <w:rsid w:val="004C55FA"/>
    <w:rsid w:val="004D1575"/>
    <w:rsid w:val="004D328A"/>
    <w:rsid w:val="004E235C"/>
    <w:rsid w:val="004E4878"/>
    <w:rsid w:val="004E73B4"/>
    <w:rsid w:val="004F0653"/>
    <w:rsid w:val="004F3D0F"/>
    <w:rsid w:val="004F3F12"/>
    <w:rsid w:val="004F6D97"/>
    <w:rsid w:val="00501435"/>
    <w:rsid w:val="00503624"/>
    <w:rsid w:val="005037E0"/>
    <w:rsid w:val="00506E16"/>
    <w:rsid w:val="0051370B"/>
    <w:rsid w:val="00516281"/>
    <w:rsid w:val="0052072F"/>
    <w:rsid w:val="00522DA2"/>
    <w:rsid w:val="00527292"/>
    <w:rsid w:val="005318F1"/>
    <w:rsid w:val="00532FEB"/>
    <w:rsid w:val="00535225"/>
    <w:rsid w:val="00540FEE"/>
    <w:rsid w:val="00546C38"/>
    <w:rsid w:val="00547910"/>
    <w:rsid w:val="00562498"/>
    <w:rsid w:val="005640FD"/>
    <w:rsid w:val="00564137"/>
    <w:rsid w:val="00565FE1"/>
    <w:rsid w:val="005666C4"/>
    <w:rsid w:val="00570D9C"/>
    <w:rsid w:val="00574AA9"/>
    <w:rsid w:val="00585196"/>
    <w:rsid w:val="00586F60"/>
    <w:rsid w:val="00587662"/>
    <w:rsid w:val="005935AA"/>
    <w:rsid w:val="00593C79"/>
    <w:rsid w:val="0059796E"/>
    <w:rsid w:val="005A12E2"/>
    <w:rsid w:val="005A72C2"/>
    <w:rsid w:val="005B37AB"/>
    <w:rsid w:val="005B72E5"/>
    <w:rsid w:val="005B7B56"/>
    <w:rsid w:val="005C152B"/>
    <w:rsid w:val="005C233B"/>
    <w:rsid w:val="005C2460"/>
    <w:rsid w:val="005C2A4B"/>
    <w:rsid w:val="005C75F9"/>
    <w:rsid w:val="005D2200"/>
    <w:rsid w:val="005D796B"/>
    <w:rsid w:val="005E0AC4"/>
    <w:rsid w:val="005E11B6"/>
    <w:rsid w:val="00600F84"/>
    <w:rsid w:val="00606242"/>
    <w:rsid w:val="006116ED"/>
    <w:rsid w:val="00612C21"/>
    <w:rsid w:val="006156DC"/>
    <w:rsid w:val="00615E12"/>
    <w:rsid w:val="006242D6"/>
    <w:rsid w:val="00627406"/>
    <w:rsid w:val="0063333A"/>
    <w:rsid w:val="00640C3F"/>
    <w:rsid w:val="00651888"/>
    <w:rsid w:val="006619F6"/>
    <w:rsid w:val="00665F92"/>
    <w:rsid w:val="00666B59"/>
    <w:rsid w:val="006723C3"/>
    <w:rsid w:val="00674620"/>
    <w:rsid w:val="00674D56"/>
    <w:rsid w:val="00677E7E"/>
    <w:rsid w:val="00680CC8"/>
    <w:rsid w:val="0068425B"/>
    <w:rsid w:val="00695A75"/>
    <w:rsid w:val="006A636C"/>
    <w:rsid w:val="006A7FCD"/>
    <w:rsid w:val="006B1D2C"/>
    <w:rsid w:val="006B56C3"/>
    <w:rsid w:val="006B7792"/>
    <w:rsid w:val="006B7EC4"/>
    <w:rsid w:val="006C0F4C"/>
    <w:rsid w:val="006C30E1"/>
    <w:rsid w:val="006C7FF8"/>
    <w:rsid w:val="006D02FB"/>
    <w:rsid w:val="006D26C6"/>
    <w:rsid w:val="006E3145"/>
    <w:rsid w:val="006E6110"/>
    <w:rsid w:val="00707353"/>
    <w:rsid w:val="00726218"/>
    <w:rsid w:val="0072754B"/>
    <w:rsid w:val="00727B74"/>
    <w:rsid w:val="007320D7"/>
    <w:rsid w:val="007321D2"/>
    <w:rsid w:val="0073231A"/>
    <w:rsid w:val="0073740B"/>
    <w:rsid w:val="007609BE"/>
    <w:rsid w:val="007624DC"/>
    <w:rsid w:val="00762FE6"/>
    <w:rsid w:val="00767235"/>
    <w:rsid w:val="0076779D"/>
    <w:rsid w:val="00774C28"/>
    <w:rsid w:val="00776A97"/>
    <w:rsid w:val="007842AF"/>
    <w:rsid w:val="00787F69"/>
    <w:rsid w:val="007A240A"/>
    <w:rsid w:val="007A2BA0"/>
    <w:rsid w:val="007A31F9"/>
    <w:rsid w:val="007A6EA8"/>
    <w:rsid w:val="007B35EC"/>
    <w:rsid w:val="007B488A"/>
    <w:rsid w:val="007B576C"/>
    <w:rsid w:val="007D1536"/>
    <w:rsid w:val="007D7BC6"/>
    <w:rsid w:val="007E4473"/>
    <w:rsid w:val="007F1A11"/>
    <w:rsid w:val="007F31AE"/>
    <w:rsid w:val="007F3B8A"/>
    <w:rsid w:val="007F4134"/>
    <w:rsid w:val="007F4B47"/>
    <w:rsid w:val="008014DD"/>
    <w:rsid w:val="00804BB9"/>
    <w:rsid w:val="0080507A"/>
    <w:rsid w:val="00812C6F"/>
    <w:rsid w:val="00812E85"/>
    <w:rsid w:val="00815931"/>
    <w:rsid w:val="008238D0"/>
    <w:rsid w:val="008344B1"/>
    <w:rsid w:val="00836E47"/>
    <w:rsid w:val="00846BF4"/>
    <w:rsid w:val="008470C4"/>
    <w:rsid w:val="00851910"/>
    <w:rsid w:val="00854DD3"/>
    <w:rsid w:val="008554CA"/>
    <w:rsid w:val="0085608B"/>
    <w:rsid w:val="008648ED"/>
    <w:rsid w:val="0087028A"/>
    <w:rsid w:val="00875C91"/>
    <w:rsid w:val="008767C2"/>
    <w:rsid w:val="00884410"/>
    <w:rsid w:val="00884947"/>
    <w:rsid w:val="0089049E"/>
    <w:rsid w:val="0089069E"/>
    <w:rsid w:val="008B1AAB"/>
    <w:rsid w:val="008B32CB"/>
    <w:rsid w:val="008B70AB"/>
    <w:rsid w:val="008B7EFD"/>
    <w:rsid w:val="008C10D6"/>
    <w:rsid w:val="008D2169"/>
    <w:rsid w:val="008D6ABF"/>
    <w:rsid w:val="008F0494"/>
    <w:rsid w:val="008F1921"/>
    <w:rsid w:val="008F7812"/>
    <w:rsid w:val="00904231"/>
    <w:rsid w:val="00904D90"/>
    <w:rsid w:val="009109DE"/>
    <w:rsid w:val="00912EF8"/>
    <w:rsid w:val="00915CFB"/>
    <w:rsid w:val="00916A48"/>
    <w:rsid w:val="00917048"/>
    <w:rsid w:val="009208BB"/>
    <w:rsid w:val="00921290"/>
    <w:rsid w:val="00921D07"/>
    <w:rsid w:val="00921E75"/>
    <w:rsid w:val="00922685"/>
    <w:rsid w:val="00923642"/>
    <w:rsid w:val="00923D27"/>
    <w:rsid w:val="009240CC"/>
    <w:rsid w:val="009262DA"/>
    <w:rsid w:val="00942086"/>
    <w:rsid w:val="00942161"/>
    <w:rsid w:val="00951F5A"/>
    <w:rsid w:val="00957972"/>
    <w:rsid w:val="009721F9"/>
    <w:rsid w:val="0097271B"/>
    <w:rsid w:val="00972A1F"/>
    <w:rsid w:val="00975CFE"/>
    <w:rsid w:val="00980E4A"/>
    <w:rsid w:val="009838BF"/>
    <w:rsid w:val="00983927"/>
    <w:rsid w:val="00984271"/>
    <w:rsid w:val="00990A88"/>
    <w:rsid w:val="009A4B16"/>
    <w:rsid w:val="009A78D8"/>
    <w:rsid w:val="009B0FFC"/>
    <w:rsid w:val="009B4907"/>
    <w:rsid w:val="009C09D5"/>
    <w:rsid w:val="009C142D"/>
    <w:rsid w:val="009C3C0C"/>
    <w:rsid w:val="009C6EBA"/>
    <w:rsid w:val="009D14B3"/>
    <w:rsid w:val="009D1987"/>
    <w:rsid w:val="009D6779"/>
    <w:rsid w:val="009E277B"/>
    <w:rsid w:val="009E2FEA"/>
    <w:rsid w:val="009E371F"/>
    <w:rsid w:val="009E620A"/>
    <w:rsid w:val="009E6C1B"/>
    <w:rsid w:val="009F0CED"/>
    <w:rsid w:val="009F37C6"/>
    <w:rsid w:val="00A022CA"/>
    <w:rsid w:val="00A032E8"/>
    <w:rsid w:val="00A05D39"/>
    <w:rsid w:val="00A07D14"/>
    <w:rsid w:val="00A15056"/>
    <w:rsid w:val="00A20311"/>
    <w:rsid w:val="00A2350B"/>
    <w:rsid w:val="00A306E7"/>
    <w:rsid w:val="00A31EBE"/>
    <w:rsid w:val="00A33B13"/>
    <w:rsid w:val="00A36C4E"/>
    <w:rsid w:val="00A40419"/>
    <w:rsid w:val="00A428B1"/>
    <w:rsid w:val="00A43C8E"/>
    <w:rsid w:val="00A554B8"/>
    <w:rsid w:val="00A55828"/>
    <w:rsid w:val="00A60F1F"/>
    <w:rsid w:val="00A63DA6"/>
    <w:rsid w:val="00A64A1A"/>
    <w:rsid w:val="00A70E4B"/>
    <w:rsid w:val="00A73B62"/>
    <w:rsid w:val="00A8020A"/>
    <w:rsid w:val="00A83486"/>
    <w:rsid w:val="00A87127"/>
    <w:rsid w:val="00A87B23"/>
    <w:rsid w:val="00A9360E"/>
    <w:rsid w:val="00AA0AB8"/>
    <w:rsid w:val="00AA5B1F"/>
    <w:rsid w:val="00AA6FC2"/>
    <w:rsid w:val="00AA72BA"/>
    <w:rsid w:val="00AA74EF"/>
    <w:rsid w:val="00AB0503"/>
    <w:rsid w:val="00AB6B6C"/>
    <w:rsid w:val="00AB6C0D"/>
    <w:rsid w:val="00AB7845"/>
    <w:rsid w:val="00AD087E"/>
    <w:rsid w:val="00AD3B68"/>
    <w:rsid w:val="00AD4DAD"/>
    <w:rsid w:val="00AD631E"/>
    <w:rsid w:val="00AD7E49"/>
    <w:rsid w:val="00AE2F90"/>
    <w:rsid w:val="00AE4BB0"/>
    <w:rsid w:val="00AF06CF"/>
    <w:rsid w:val="00AF591F"/>
    <w:rsid w:val="00B04782"/>
    <w:rsid w:val="00B04AEF"/>
    <w:rsid w:val="00B07A9C"/>
    <w:rsid w:val="00B1081E"/>
    <w:rsid w:val="00B250AE"/>
    <w:rsid w:val="00B30091"/>
    <w:rsid w:val="00B34684"/>
    <w:rsid w:val="00B511C5"/>
    <w:rsid w:val="00B52732"/>
    <w:rsid w:val="00B67E38"/>
    <w:rsid w:val="00B71520"/>
    <w:rsid w:val="00B812AD"/>
    <w:rsid w:val="00B81B0B"/>
    <w:rsid w:val="00B84BB5"/>
    <w:rsid w:val="00B8645C"/>
    <w:rsid w:val="00B86792"/>
    <w:rsid w:val="00B8727C"/>
    <w:rsid w:val="00B90833"/>
    <w:rsid w:val="00B96D61"/>
    <w:rsid w:val="00BA020A"/>
    <w:rsid w:val="00BA1892"/>
    <w:rsid w:val="00BA2CA3"/>
    <w:rsid w:val="00BA4632"/>
    <w:rsid w:val="00BA522E"/>
    <w:rsid w:val="00BB2038"/>
    <w:rsid w:val="00BB378F"/>
    <w:rsid w:val="00BC2519"/>
    <w:rsid w:val="00BC596F"/>
    <w:rsid w:val="00BE6F08"/>
    <w:rsid w:val="00BF21C2"/>
    <w:rsid w:val="00BF3CE0"/>
    <w:rsid w:val="00BF4C36"/>
    <w:rsid w:val="00C13250"/>
    <w:rsid w:val="00C150FA"/>
    <w:rsid w:val="00C163CA"/>
    <w:rsid w:val="00C255B6"/>
    <w:rsid w:val="00C26D96"/>
    <w:rsid w:val="00C309A8"/>
    <w:rsid w:val="00C31DDB"/>
    <w:rsid w:val="00C32D3E"/>
    <w:rsid w:val="00C3389C"/>
    <w:rsid w:val="00C41A7D"/>
    <w:rsid w:val="00C449A0"/>
    <w:rsid w:val="00C50A33"/>
    <w:rsid w:val="00C50CAD"/>
    <w:rsid w:val="00C523B8"/>
    <w:rsid w:val="00C52576"/>
    <w:rsid w:val="00C52A94"/>
    <w:rsid w:val="00C54F3E"/>
    <w:rsid w:val="00C552E2"/>
    <w:rsid w:val="00C60755"/>
    <w:rsid w:val="00C704FC"/>
    <w:rsid w:val="00C70E8A"/>
    <w:rsid w:val="00C73BCB"/>
    <w:rsid w:val="00C76285"/>
    <w:rsid w:val="00C840EB"/>
    <w:rsid w:val="00C968F1"/>
    <w:rsid w:val="00CA4FA0"/>
    <w:rsid w:val="00CA5D81"/>
    <w:rsid w:val="00CB5AE6"/>
    <w:rsid w:val="00CB6643"/>
    <w:rsid w:val="00CB751C"/>
    <w:rsid w:val="00CC0A1C"/>
    <w:rsid w:val="00CC5B42"/>
    <w:rsid w:val="00CC6BBE"/>
    <w:rsid w:val="00CD5F0D"/>
    <w:rsid w:val="00CE16AF"/>
    <w:rsid w:val="00CE35DB"/>
    <w:rsid w:val="00CE5DED"/>
    <w:rsid w:val="00CE6119"/>
    <w:rsid w:val="00CE6869"/>
    <w:rsid w:val="00CF3301"/>
    <w:rsid w:val="00CF3CDF"/>
    <w:rsid w:val="00CF60C7"/>
    <w:rsid w:val="00D032B9"/>
    <w:rsid w:val="00D108E0"/>
    <w:rsid w:val="00D1376C"/>
    <w:rsid w:val="00D1622D"/>
    <w:rsid w:val="00D173CD"/>
    <w:rsid w:val="00D306B5"/>
    <w:rsid w:val="00D3460A"/>
    <w:rsid w:val="00D47406"/>
    <w:rsid w:val="00D53CF2"/>
    <w:rsid w:val="00D64486"/>
    <w:rsid w:val="00D7088F"/>
    <w:rsid w:val="00D7191B"/>
    <w:rsid w:val="00D861E8"/>
    <w:rsid w:val="00DA3A17"/>
    <w:rsid w:val="00DA3EC6"/>
    <w:rsid w:val="00DA7992"/>
    <w:rsid w:val="00DB608B"/>
    <w:rsid w:val="00DB6F09"/>
    <w:rsid w:val="00DC379A"/>
    <w:rsid w:val="00DC5819"/>
    <w:rsid w:val="00DC6575"/>
    <w:rsid w:val="00DC7B45"/>
    <w:rsid w:val="00DD132D"/>
    <w:rsid w:val="00DD16FF"/>
    <w:rsid w:val="00DD5A9A"/>
    <w:rsid w:val="00DE1C6E"/>
    <w:rsid w:val="00DF5DC0"/>
    <w:rsid w:val="00DF6C26"/>
    <w:rsid w:val="00DF6C7C"/>
    <w:rsid w:val="00E01055"/>
    <w:rsid w:val="00E077FE"/>
    <w:rsid w:val="00E11936"/>
    <w:rsid w:val="00E2202F"/>
    <w:rsid w:val="00E27749"/>
    <w:rsid w:val="00E37CAE"/>
    <w:rsid w:val="00E428EE"/>
    <w:rsid w:val="00E447B2"/>
    <w:rsid w:val="00E44E7B"/>
    <w:rsid w:val="00E44F01"/>
    <w:rsid w:val="00E47BE4"/>
    <w:rsid w:val="00E5283D"/>
    <w:rsid w:val="00E54038"/>
    <w:rsid w:val="00E61CA2"/>
    <w:rsid w:val="00E80020"/>
    <w:rsid w:val="00E8258E"/>
    <w:rsid w:val="00E83212"/>
    <w:rsid w:val="00E91433"/>
    <w:rsid w:val="00E9659A"/>
    <w:rsid w:val="00EA0EAD"/>
    <w:rsid w:val="00EA31C8"/>
    <w:rsid w:val="00EA52F9"/>
    <w:rsid w:val="00EA6E83"/>
    <w:rsid w:val="00EB38F3"/>
    <w:rsid w:val="00EB432B"/>
    <w:rsid w:val="00EC44BA"/>
    <w:rsid w:val="00EC50F7"/>
    <w:rsid w:val="00EC73CF"/>
    <w:rsid w:val="00ED2924"/>
    <w:rsid w:val="00ED399B"/>
    <w:rsid w:val="00EF0D7C"/>
    <w:rsid w:val="00EF160A"/>
    <w:rsid w:val="00EF36A1"/>
    <w:rsid w:val="00EF6245"/>
    <w:rsid w:val="00EF7821"/>
    <w:rsid w:val="00F00FF3"/>
    <w:rsid w:val="00F05271"/>
    <w:rsid w:val="00F10323"/>
    <w:rsid w:val="00F13373"/>
    <w:rsid w:val="00F14549"/>
    <w:rsid w:val="00F15AA3"/>
    <w:rsid w:val="00F21980"/>
    <w:rsid w:val="00F235AF"/>
    <w:rsid w:val="00F349CB"/>
    <w:rsid w:val="00F37143"/>
    <w:rsid w:val="00F41686"/>
    <w:rsid w:val="00F4322C"/>
    <w:rsid w:val="00F44BBC"/>
    <w:rsid w:val="00F510BC"/>
    <w:rsid w:val="00F5578C"/>
    <w:rsid w:val="00F57D59"/>
    <w:rsid w:val="00F612C1"/>
    <w:rsid w:val="00F63218"/>
    <w:rsid w:val="00F65FCF"/>
    <w:rsid w:val="00F66AD5"/>
    <w:rsid w:val="00F675AC"/>
    <w:rsid w:val="00F91979"/>
    <w:rsid w:val="00F91EC8"/>
    <w:rsid w:val="00F93C84"/>
    <w:rsid w:val="00FA3983"/>
    <w:rsid w:val="00FA60C4"/>
    <w:rsid w:val="00FA71AE"/>
    <w:rsid w:val="00FB16E7"/>
    <w:rsid w:val="00FB3D1B"/>
    <w:rsid w:val="00FC66FF"/>
    <w:rsid w:val="00FD3EEC"/>
    <w:rsid w:val="00FD44C3"/>
    <w:rsid w:val="00FD68CF"/>
    <w:rsid w:val="00FE2588"/>
    <w:rsid w:val="00FE283D"/>
    <w:rsid w:val="00FE6631"/>
    <w:rsid w:val="00FF7F28"/>
    <w:rsid w:val="01C41BB2"/>
    <w:rsid w:val="047C0078"/>
    <w:rsid w:val="08C901BC"/>
    <w:rsid w:val="1C5C35EE"/>
    <w:rsid w:val="2E9B12F9"/>
    <w:rsid w:val="475C15FA"/>
    <w:rsid w:val="50265D1C"/>
    <w:rsid w:val="553EC2CD"/>
    <w:rsid w:val="6B86B81A"/>
    <w:rsid w:val="74F6796E"/>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20D310"/>
  <w15:docId w15:val="{8EE839DA-9ED8-4B30-94A9-30FD18473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753"/>
    <w:pPr>
      <w:spacing w:after="0" w:line="240" w:lineRule="auto"/>
    </w:pPr>
    <w:rPr>
      <w:rFonts w:ascii="Times New Roman" w:eastAsia="Times New Roman" w:hAnsi="Times New Roman" w:cs="Times New Roman"/>
      <w:sz w:val="24"/>
      <w:szCs w:val="20"/>
      <w:lang w:val="en-GB"/>
    </w:rPr>
  </w:style>
  <w:style w:type="paragraph" w:styleId="Heading1">
    <w:name w:val="heading 1"/>
    <w:basedOn w:val="Normal"/>
    <w:next w:val="Normal"/>
    <w:link w:val="Heading1Char"/>
    <w:uiPriority w:val="9"/>
    <w:qFormat/>
    <w:rsid w:val="009D19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359B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B2753"/>
    <w:pPr>
      <w:tabs>
        <w:tab w:val="center" w:pos="4536"/>
        <w:tab w:val="right" w:pos="9072"/>
      </w:tabs>
    </w:pPr>
  </w:style>
  <w:style w:type="character" w:customStyle="1" w:styleId="HeaderChar">
    <w:name w:val="Header Char"/>
    <w:basedOn w:val="DefaultParagraphFont"/>
    <w:link w:val="Header"/>
    <w:rsid w:val="003B2753"/>
    <w:rPr>
      <w:rFonts w:ascii="Times New Roman" w:eastAsia="Times New Roman" w:hAnsi="Times New Roman" w:cs="Times New Roman"/>
      <w:sz w:val="24"/>
      <w:szCs w:val="20"/>
      <w:lang w:val="en-US"/>
    </w:rPr>
  </w:style>
  <w:style w:type="table" w:styleId="TableGrid">
    <w:name w:val="Table Grid"/>
    <w:basedOn w:val="TableNormal"/>
    <w:rsid w:val="003B2753"/>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B2753"/>
    <w:rPr>
      <w:rFonts w:ascii="Tahoma" w:hAnsi="Tahoma" w:cs="Tahoma"/>
      <w:sz w:val="16"/>
      <w:szCs w:val="16"/>
    </w:rPr>
  </w:style>
  <w:style w:type="character" w:customStyle="1" w:styleId="BalloonTextChar">
    <w:name w:val="Balloon Text Char"/>
    <w:basedOn w:val="DefaultParagraphFont"/>
    <w:link w:val="BalloonText"/>
    <w:uiPriority w:val="99"/>
    <w:semiHidden/>
    <w:rsid w:val="003B2753"/>
    <w:rPr>
      <w:rFonts w:ascii="Tahoma" w:eastAsia="Times New Roman" w:hAnsi="Tahoma" w:cs="Tahoma"/>
      <w:sz w:val="16"/>
      <w:szCs w:val="16"/>
      <w:lang w:val="en-US"/>
    </w:rPr>
  </w:style>
  <w:style w:type="paragraph" w:styleId="ListParagraph">
    <w:name w:val="List Paragraph"/>
    <w:basedOn w:val="Normal"/>
    <w:uiPriority w:val="34"/>
    <w:qFormat/>
    <w:rsid w:val="007D1536"/>
    <w:pPr>
      <w:ind w:left="720"/>
      <w:contextualSpacing/>
    </w:pPr>
  </w:style>
  <w:style w:type="paragraph" w:styleId="Footer">
    <w:name w:val="footer"/>
    <w:basedOn w:val="Normal"/>
    <w:link w:val="FooterChar"/>
    <w:uiPriority w:val="99"/>
    <w:unhideWhenUsed/>
    <w:rsid w:val="00082D86"/>
    <w:pPr>
      <w:tabs>
        <w:tab w:val="center" w:pos="4536"/>
        <w:tab w:val="right" w:pos="9072"/>
      </w:tabs>
    </w:pPr>
  </w:style>
  <w:style w:type="character" w:customStyle="1" w:styleId="FooterChar">
    <w:name w:val="Footer Char"/>
    <w:basedOn w:val="DefaultParagraphFont"/>
    <w:link w:val="Footer"/>
    <w:uiPriority w:val="99"/>
    <w:rsid w:val="00082D86"/>
    <w:rPr>
      <w:rFonts w:ascii="Times New Roman" w:eastAsia="Times New Roman" w:hAnsi="Times New Roman" w:cs="Times New Roman"/>
      <w:sz w:val="24"/>
      <w:szCs w:val="20"/>
      <w:lang w:val="en-US"/>
    </w:rPr>
  </w:style>
  <w:style w:type="character" w:styleId="CommentReference">
    <w:name w:val="annotation reference"/>
    <w:basedOn w:val="DefaultParagraphFont"/>
    <w:uiPriority w:val="99"/>
    <w:semiHidden/>
    <w:unhideWhenUsed/>
    <w:rsid w:val="00A9360E"/>
    <w:rPr>
      <w:sz w:val="16"/>
      <w:szCs w:val="16"/>
    </w:rPr>
  </w:style>
  <w:style w:type="paragraph" w:styleId="CommentText">
    <w:name w:val="annotation text"/>
    <w:basedOn w:val="Normal"/>
    <w:link w:val="CommentTextChar"/>
    <w:uiPriority w:val="99"/>
    <w:semiHidden/>
    <w:unhideWhenUsed/>
    <w:rsid w:val="00A9360E"/>
    <w:rPr>
      <w:sz w:val="20"/>
    </w:rPr>
  </w:style>
  <w:style w:type="character" w:customStyle="1" w:styleId="CommentTextChar">
    <w:name w:val="Comment Text Char"/>
    <w:basedOn w:val="DefaultParagraphFont"/>
    <w:link w:val="CommentText"/>
    <w:uiPriority w:val="99"/>
    <w:semiHidden/>
    <w:rsid w:val="00A9360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9360E"/>
    <w:rPr>
      <w:b/>
      <w:bCs/>
    </w:rPr>
  </w:style>
  <w:style w:type="character" w:customStyle="1" w:styleId="CommentSubjectChar">
    <w:name w:val="Comment Subject Char"/>
    <w:basedOn w:val="CommentTextChar"/>
    <w:link w:val="CommentSubject"/>
    <w:uiPriority w:val="99"/>
    <w:semiHidden/>
    <w:rsid w:val="00A9360E"/>
    <w:rPr>
      <w:rFonts w:ascii="Times New Roman" w:eastAsia="Times New Roman" w:hAnsi="Times New Roman" w:cs="Times New Roman"/>
      <w:b/>
      <w:bCs/>
      <w:sz w:val="20"/>
      <w:szCs w:val="20"/>
      <w:lang w:val="en-US"/>
    </w:rPr>
  </w:style>
  <w:style w:type="character" w:customStyle="1" w:styleId="Heading1Char">
    <w:name w:val="Heading 1 Char"/>
    <w:basedOn w:val="DefaultParagraphFont"/>
    <w:link w:val="Heading1"/>
    <w:uiPriority w:val="9"/>
    <w:rsid w:val="009D1987"/>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2359B7"/>
    <w:rPr>
      <w:rFonts w:asciiTheme="majorHAnsi" w:eastAsiaTheme="majorEastAsia" w:hAnsiTheme="majorHAnsi" w:cstheme="majorBidi"/>
      <w:b/>
      <w:bCs/>
      <w:color w:val="4F81BD" w:themeColor="accent1"/>
      <w:sz w:val="26"/>
      <w:szCs w:val="26"/>
      <w:lang w:val="en-US"/>
    </w:rPr>
  </w:style>
  <w:style w:type="paragraph" w:styleId="TOC1">
    <w:name w:val="toc 1"/>
    <w:basedOn w:val="Normal"/>
    <w:next w:val="Normal"/>
    <w:autoRedefine/>
    <w:uiPriority w:val="39"/>
    <w:unhideWhenUsed/>
    <w:rsid w:val="00287967"/>
    <w:pPr>
      <w:spacing w:before="240" w:after="120"/>
    </w:pPr>
    <w:rPr>
      <w:rFonts w:asciiTheme="minorHAnsi" w:hAnsiTheme="minorHAnsi" w:cstheme="minorHAnsi"/>
      <w:b/>
      <w:bCs/>
      <w:sz w:val="20"/>
    </w:rPr>
  </w:style>
  <w:style w:type="paragraph" w:styleId="TOC2">
    <w:name w:val="toc 2"/>
    <w:basedOn w:val="Normal"/>
    <w:next w:val="Normal"/>
    <w:autoRedefine/>
    <w:uiPriority w:val="39"/>
    <w:unhideWhenUsed/>
    <w:rsid w:val="00287967"/>
    <w:pPr>
      <w:spacing w:before="120"/>
      <w:ind w:left="240"/>
    </w:pPr>
    <w:rPr>
      <w:rFonts w:asciiTheme="minorHAnsi" w:hAnsiTheme="minorHAnsi" w:cstheme="minorHAnsi"/>
      <w:i/>
      <w:iCs/>
      <w:sz w:val="20"/>
    </w:rPr>
  </w:style>
  <w:style w:type="paragraph" w:styleId="TOC3">
    <w:name w:val="toc 3"/>
    <w:basedOn w:val="Normal"/>
    <w:next w:val="Normal"/>
    <w:autoRedefine/>
    <w:uiPriority w:val="39"/>
    <w:unhideWhenUsed/>
    <w:rsid w:val="00287967"/>
    <w:pPr>
      <w:ind w:left="480"/>
    </w:pPr>
    <w:rPr>
      <w:rFonts w:asciiTheme="minorHAnsi" w:hAnsiTheme="minorHAnsi" w:cstheme="minorHAnsi"/>
      <w:sz w:val="20"/>
    </w:rPr>
  </w:style>
  <w:style w:type="paragraph" w:styleId="TOC4">
    <w:name w:val="toc 4"/>
    <w:basedOn w:val="Normal"/>
    <w:next w:val="Normal"/>
    <w:autoRedefine/>
    <w:uiPriority w:val="39"/>
    <w:unhideWhenUsed/>
    <w:rsid w:val="00287967"/>
    <w:pPr>
      <w:ind w:left="720"/>
    </w:pPr>
    <w:rPr>
      <w:rFonts w:asciiTheme="minorHAnsi" w:hAnsiTheme="minorHAnsi" w:cstheme="minorHAnsi"/>
      <w:sz w:val="20"/>
    </w:rPr>
  </w:style>
  <w:style w:type="paragraph" w:styleId="TOC5">
    <w:name w:val="toc 5"/>
    <w:basedOn w:val="Normal"/>
    <w:next w:val="Normal"/>
    <w:autoRedefine/>
    <w:uiPriority w:val="39"/>
    <w:unhideWhenUsed/>
    <w:rsid w:val="00287967"/>
    <w:pPr>
      <w:ind w:left="960"/>
    </w:pPr>
    <w:rPr>
      <w:rFonts w:asciiTheme="minorHAnsi" w:hAnsiTheme="minorHAnsi" w:cstheme="minorHAnsi"/>
      <w:sz w:val="20"/>
    </w:rPr>
  </w:style>
  <w:style w:type="paragraph" w:styleId="TOC6">
    <w:name w:val="toc 6"/>
    <w:basedOn w:val="Normal"/>
    <w:next w:val="Normal"/>
    <w:autoRedefine/>
    <w:uiPriority w:val="39"/>
    <w:unhideWhenUsed/>
    <w:rsid w:val="00287967"/>
    <w:pPr>
      <w:ind w:left="1200"/>
    </w:pPr>
    <w:rPr>
      <w:rFonts w:asciiTheme="minorHAnsi" w:hAnsiTheme="minorHAnsi" w:cstheme="minorHAnsi"/>
      <w:sz w:val="20"/>
    </w:rPr>
  </w:style>
  <w:style w:type="paragraph" w:styleId="TOC7">
    <w:name w:val="toc 7"/>
    <w:basedOn w:val="Normal"/>
    <w:next w:val="Normal"/>
    <w:autoRedefine/>
    <w:uiPriority w:val="39"/>
    <w:unhideWhenUsed/>
    <w:rsid w:val="00287967"/>
    <w:pPr>
      <w:ind w:left="1440"/>
    </w:pPr>
    <w:rPr>
      <w:rFonts w:asciiTheme="minorHAnsi" w:hAnsiTheme="minorHAnsi" w:cstheme="minorHAnsi"/>
      <w:sz w:val="20"/>
    </w:rPr>
  </w:style>
  <w:style w:type="paragraph" w:styleId="TOC8">
    <w:name w:val="toc 8"/>
    <w:basedOn w:val="Normal"/>
    <w:next w:val="Normal"/>
    <w:autoRedefine/>
    <w:uiPriority w:val="39"/>
    <w:unhideWhenUsed/>
    <w:rsid w:val="00287967"/>
    <w:pPr>
      <w:ind w:left="1680"/>
    </w:pPr>
    <w:rPr>
      <w:rFonts w:asciiTheme="minorHAnsi" w:hAnsiTheme="minorHAnsi" w:cstheme="minorHAnsi"/>
      <w:sz w:val="20"/>
    </w:rPr>
  </w:style>
  <w:style w:type="paragraph" w:styleId="TOC9">
    <w:name w:val="toc 9"/>
    <w:basedOn w:val="Normal"/>
    <w:next w:val="Normal"/>
    <w:autoRedefine/>
    <w:uiPriority w:val="39"/>
    <w:unhideWhenUsed/>
    <w:rsid w:val="00287967"/>
    <w:pPr>
      <w:ind w:left="1920"/>
    </w:pPr>
    <w:rPr>
      <w:rFonts w:asciiTheme="minorHAnsi" w:hAnsiTheme="minorHAnsi" w:cstheme="minorHAnsi"/>
      <w:sz w:val="20"/>
    </w:rPr>
  </w:style>
  <w:style w:type="character" w:styleId="Hyperlink">
    <w:name w:val="Hyperlink"/>
    <w:basedOn w:val="DefaultParagraphFont"/>
    <w:uiPriority w:val="99"/>
    <w:unhideWhenUsed/>
    <w:rsid w:val="00287967"/>
    <w:rPr>
      <w:color w:val="0000FF" w:themeColor="hyperlink"/>
      <w:u w:val="single"/>
    </w:rPr>
  </w:style>
  <w:style w:type="table" w:customStyle="1" w:styleId="TableGrid1">
    <w:name w:val="Table Grid1"/>
    <w:basedOn w:val="TableNormal"/>
    <w:next w:val="TableGrid"/>
    <w:uiPriority w:val="59"/>
    <w:rsid w:val="00762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74C28"/>
    <w:pPr>
      <w:widowControl w:val="0"/>
      <w:autoSpaceDE w:val="0"/>
      <w:autoSpaceDN w:val="0"/>
      <w:ind w:left="107"/>
    </w:pPr>
    <w:rPr>
      <w:rFonts w:ascii="Arial" w:eastAsia="Arial" w:hAnsi="Arial" w:cs="Arial"/>
      <w:sz w:val="22"/>
      <w:szCs w:val="22"/>
    </w:rPr>
  </w:style>
  <w:style w:type="paragraph" w:styleId="NormalWeb">
    <w:name w:val="Normal (Web)"/>
    <w:basedOn w:val="Normal"/>
    <w:uiPriority w:val="99"/>
    <w:semiHidden/>
    <w:unhideWhenUsed/>
    <w:rsid w:val="00A55828"/>
    <w:pPr>
      <w:spacing w:before="100" w:beforeAutospacing="1" w:after="100" w:afterAutospacing="1"/>
    </w:pPr>
    <w:rPr>
      <w:szCs w:val="24"/>
      <w:lang w:val="nl-BE" w:eastAsia="nl-BE"/>
    </w:rPr>
  </w:style>
  <w:style w:type="character" w:customStyle="1" w:styleId="normaltextrun">
    <w:name w:val="normaltextrun"/>
    <w:basedOn w:val="DefaultParagraphFont"/>
    <w:rsid w:val="0025116A"/>
  </w:style>
  <w:style w:type="paragraph" w:styleId="NoSpacing">
    <w:name w:val="No Spacing"/>
    <w:link w:val="NoSpacingChar"/>
    <w:uiPriority w:val="1"/>
    <w:qFormat/>
    <w:rsid w:val="0087028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7028A"/>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987914">
      <w:bodyDiv w:val="1"/>
      <w:marLeft w:val="0"/>
      <w:marRight w:val="0"/>
      <w:marTop w:val="0"/>
      <w:marBottom w:val="0"/>
      <w:divBdr>
        <w:top w:val="none" w:sz="0" w:space="0" w:color="auto"/>
        <w:left w:val="none" w:sz="0" w:space="0" w:color="auto"/>
        <w:bottom w:val="none" w:sz="0" w:space="0" w:color="auto"/>
        <w:right w:val="none" w:sz="0" w:space="0" w:color="auto"/>
      </w:divBdr>
    </w:div>
    <w:div w:id="360670555">
      <w:bodyDiv w:val="1"/>
      <w:marLeft w:val="0"/>
      <w:marRight w:val="0"/>
      <w:marTop w:val="0"/>
      <w:marBottom w:val="0"/>
      <w:divBdr>
        <w:top w:val="none" w:sz="0" w:space="0" w:color="auto"/>
        <w:left w:val="none" w:sz="0" w:space="0" w:color="auto"/>
        <w:bottom w:val="none" w:sz="0" w:space="0" w:color="auto"/>
        <w:right w:val="none" w:sz="0" w:space="0" w:color="auto"/>
      </w:divBdr>
    </w:div>
    <w:div w:id="366876259">
      <w:bodyDiv w:val="1"/>
      <w:marLeft w:val="0"/>
      <w:marRight w:val="0"/>
      <w:marTop w:val="0"/>
      <w:marBottom w:val="0"/>
      <w:divBdr>
        <w:top w:val="none" w:sz="0" w:space="0" w:color="auto"/>
        <w:left w:val="none" w:sz="0" w:space="0" w:color="auto"/>
        <w:bottom w:val="none" w:sz="0" w:space="0" w:color="auto"/>
        <w:right w:val="none" w:sz="0" w:space="0" w:color="auto"/>
      </w:divBdr>
    </w:div>
    <w:div w:id="418185655">
      <w:bodyDiv w:val="1"/>
      <w:marLeft w:val="0"/>
      <w:marRight w:val="0"/>
      <w:marTop w:val="0"/>
      <w:marBottom w:val="0"/>
      <w:divBdr>
        <w:top w:val="none" w:sz="0" w:space="0" w:color="auto"/>
        <w:left w:val="none" w:sz="0" w:space="0" w:color="auto"/>
        <w:bottom w:val="none" w:sz="0" w:space="0" w:color="auto"/>
        <w:right w:val="none" w:sz="0" w:space="0" w:color="auto"/>
      </w:divBdr>
    </w:div>
    <w:div w:id="879441078">
      <w:bodyDiv w:val="1"/>
      <w:marLeft w:val="0"/>
      <w:marRight w:val="0"/>
      <w:marTop w:val="0"/>
      <w:marBottom w:val="0"/>
      <w:divBdr>
        <w:top w:val="none" w:sz="0" w:space="0" w:color="auto"/>
        <w:left w:val="none" w:sz="0" w:space="0" w:color="auto"/>
        <w:bottom w:val="none" w:sz="0" w:space="0" w:color="auto"/>
        <w:right w:val="none" w:sz="0" w:space="0" w:color="auto"/>
      </w:divBdr>
    </w:div>
    <w:div w:id="1036350699">
      <w:bodyDiv w:val="1"/>
      <w:marLeft w:val="0"/>
      <w:marRight w:val="0"/>
      <w:marTop w:val="0"/>
      <w:marBottom w:val="0"/>
      <w:divBdr>
        <w:top w:val="none" w:sz="0" w:space="0" w:color="auto"/>
        <w:left w:val="none" w:sz="0" w:space="0" w:color="auto"/>
        <w:bottom w:val="none" w:sz="0" w:space="0" w:color="auto"/>
        <w:right w:val="none" w:sz="0" w:space="0" w:color="auto"/>
      </w:divBdr>
    </w:div>
    <w:div w:id="1523085838">
      <w:bodyDiv w:val="1"/>
      <w:marLeft w:val="0"/>
      <w:marRight w:val="0"/>
      <w:marTop w:val="0"/>
      <w:marBottom w:val="0"/>
      <w:divBdr>
        <w:top w:val="none" w:sz="0" w:space="0" w:color="auto"/>
        <w:left w:val="none" w:sz="0" w:space="0" w:color="auto"/>
        <w:bottom w:val="none" w:sz="0" w:space="0" w:color="auto"/>
        <w:right w:val="none" w:sz="0" w:space="0" w:color="auto"/>
      </w:divBdr>
    </w:div>
    <w:div w:id="1676959040">
      <w:bodyDiv w:val="1"/>
      <w:marLeft w:val="0"/>
      <w:marRight w:val="0"/>
      <w:marTop w:val="0"/>
      <w:marBottom w:val="0"/>
      <w:divBdr>
        <w:top w:val="none" w:sz="0" w:space="0" w:color="auto"/>
        <w:left w:val="none" w:sz="0" w:space="0" w:color="auto"/>
        <w:bottom w:val="none" w:sz="0" w:space="0" w:color="auto"/>
        <w:right w:val="none" w:sz="0" w:space="0" w:color="auto"/>
      </w:divBdr>
    </w:div>
    <w:div w:id="1733581663">
      <w:bodyDiv w:val="1"/>
      <w:marLeft w:val="0"/>
      <w:marRight w:val="0"/>
      <w:marTop w:val="0"/>
      <w:marBottom w:val="0"/>
      <w:divBdr>
        <w:top w:val="none" w:sz="0" w:space="0" w:color="auto"/>
        <w:left w:val="none" w:sz="0" w:space="0" w:color="auto"/>
        <w:bottom w:val="none" w:sz="0" w:space="0" w:color="auto"/>
        <w:right w:val="none" w:sz="0" w:space="0" w:color="auto"/>
      </w:divBdr>
    </w:div>
    <w:div w:id="1787583075">
      <w:bodyDiv w:val="1"/>
      <w:marLeft w:val="0"/>
      <w:marRight w:val="0"/>
      <w:marTop w:val="0"/>
      <w:marBottom w:val="0"/>
      <w:divBdr>
        <w:top w:val="none" w:sz="0" w:space="0" w:color="auto"/>
        <w:left w:val="none" w:sz="0" w:space="0" w:color="auto"/>
        <w:bottom w:val="none" w:sz="0" w:space="0" w:color="auto"/>
        <w:right w:val="none" w:sz="0" w:space="0" w:color="auto"/>
      </w:divBdr>
      <w:divsChild>
        <w:div w:id="1245840507">
          <w:marLeft w:val="0"/>
          <w:marRight w:val="0"/>
          <w:marTop w:val="0"/>
          <w:marBottom w:val="0"/>
          <w:divBdr>
            <w:top w:val="none" w:sz="0" w:space="0" w:color="auto"/>
            <w:left w:val="none" w:sz="0" w:space="0" w:color="auto"/>
            <w:bottom w:val="none" w:sz="0" w:space="0" w:color="auto"/>
            <w:right w:val="none" w:sz="0" w:space="0" w:color="auto"/>
          </w:divBdr>
          <w:divsChild>
            <w:div w:id="46924755">
              <w:marLeft w:val="0"/>
              <w:marRight w:val="0"/>
              <w:marTop w:val="0"/>
              <w:marBottom w:val="0"/>
              <w:divBdr>
                <w:top w:val="none" w:sz="0" w:space="0" w:color="auto"/>
                <w:left w:val="none" w:sz="0" w:space="0" w:color="auto"/>
                <w:bottom w:val="none" w:sz="0" w:space="0" w:color="auto"/>
                <w:right w:val="none" w:sz="0" w:space="0" w:color="auto"/>
              </w:divBdr>
              <w:divsChild>
                <w:div w:id="1060903327">
                  <w:marLeft w:val="0"/>
                  <w:marRight w:val="0"/>
                  <w:marTop w:val="0"/>
                  <w:marBottom w:val="0"/>
                  <w:divBdr>
                    <w:top w:val="none" w:sz="0" w:space="0" w:color="auto"/>
                    <w:left w:val="none" w:sz="0" w:space="0" w:color="auto"/>
                    <w:bottom w:val="none" w:sz="0" w:space="0" w:color="auto"/>
                    <w:right w:val="none" w:sz="0" w:space="0" w:color="auto"/>
                  </w:divBdr>
                  <w:divsChild>
                    <w:div w:id="293024556">
                      <w:marLeft w:val="0"/>
                      <w:marRight w:val="0"/>
                      <w:marTop w:val="0"/>
                      <w:marBottom w:val="0"/>
                      <w:divBdr>
                        <w:top w:val="none" w:sz="0" w:space="0" w:color="auto"/>
                        <w:left w:val="none" w:sz="0" w:space="0" w:color="auto"/>
                        <w:bottom w:val="none" w:sz="0" w:space="0" w:color="auto"/>
                        <w:right w:val="none" w:sz="0" w:space="0" w:color="auto"/>
                      </w:divBdr>
                      <w:divsChild>
                        <w:div w:id="1868906688">
                          <w:marLeft w:val="0"/>
                          <w:marRight w:val="0"/>
                          <w:marTop w:val="0"/>
                          <w:marBottom w:val="0"/>
                          <w:divBdr>
                            <w:top w:val="none" w:sz="0" w:space="0" w:color="auto"/>
                            <w:left w:val="none" w:sz="0" w:space="0" w:color="auto"/>
                            <w:bottom w:val="none" w:sz="0" w:space="0" w:color="auto"/>
                            <w:right w:val="none" w:sz="0" w:space="0" w:color="auto"/>
                          </w:divBdr>
                          <w:divsChild>
                            <w:div w:id="101195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26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48060/tghn.9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cid:image009.png@01D87FE2.371F1530" TargetMode="External"/><Relationship Id="rId2" Type="http://schemas.openxmlformats.org/officeDocument/2006/relationships/image" Target="media/image3.png"/><Relationship Id="rId1" Type="http://schemas.openxmlformats.org/officeDocument/2006/relationships/hyperlink" Target="https://creativecommons.org/licenses/by-nc/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rget_x0020_Audiences xmlns="a8fb8f8e-5899-4a82-9cd4-b0b2869e5d15"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73E5B5C15B2794B9E04639F331392D9" ma:contentTypeVersion="14" ma:contentTypeDescription="Create a new document." ma:contentTypeScope="" ma:versionID="109df9842b680a8c60ed1d8926d548bb">
  <xsd:schema xmlns:xsd="http://www.w3.org/2001/XMLSchema" xmlns:xs="http://www.w3.org/2001/XMLSchema" xmlns:p="http://schemas.microsoft.com/office/2006/metadata/properties" xmlns:ns2="a8fb8f8e-5899-4a82-9cd4-b0b2869e5d15" xmlns:ns3="4a61c857-5e01-4a39-8c49-62c53e867599" targetNamespace="http://schemas.microsoft.com/office/2006/metadata/properties" ma:root="true" ma:fieldsID="5128b9cd00f1d26f333b20b9cce9be64" ns2:_="" ns3:_="">
    <xsd:import namespace="a8fb8f8e-5899-4a82-9cd4-b0b2869e5d15"/>
    <xsd:import namespace="4a61c857-5e01-4a39-8c49-62c53e8675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Target_x0020_Audienc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8f8e-5899-4a82-9cd4-b0b2869e5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arget_x0020_Audiences" ma:index="20" nillable="true" ma:displayName="Target Audiences" ma:internalName="Target_x0020_Audience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61c857-5e01-4a39-8c49-62c53e8675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839909-A9F5-4EAD-9B14-C900208EA844}">
  <ds:schemaRefs>
    <ds:schemaRef ds:uri="http://schemas.microsoft.com/office/2006/metadata/properties"/>
    <ds:schemaRef ds:uri="http://schemas.microsoft.com/office/infopath/2007/PartnerControls"/>
    <ds:schemaRef ds:uri="a8fb8f8e-5899-4a82-9cd4-b0b2869e5d15"/>
  </ds:schemaRefs>
</ds:datastoreItem>
</file>

<file path=customXml/itemProps2.xml><?xml version="1.0" encoding="utf-8"?>
<ds:datastoreItem xmlns:ds="http://schemas.openxmlformats.org/officeDocument/2006/customXml" ds:itemID="{B7CAAB54-577A-4E21-BD72-118D6C757D35}">
  <ds:schemaRefs>
    <ds:schemaRef ds:uri="http://schemas.openxmlformats.org/officeDocument/2006/bibliography"/>
  </ds:schemaRefs>
</ds:datastoreItem>
</file>

<file path=customXml/itemProps3.xml><?xml version="1.0" encoding="utf-8"?>
<ds:datastoreItem xmlns:ds="http://schemas.openxmlformats.org/officeDocument/2006/customXml" ds:itemID="{7E0D9002-A388-4817-BD87-5134298D40C3}">
  <ds:schemaRefs>
    <ds:schemaRef ds:uri="http://schemas.microsoft.com/sharepoint/v3/contenttype/forms"/>
  </ds:schemaRefs>
</ds:datastoreItem>
</file>

<file path=customXml/itemProps4.xml><?xml version="1.0" encoding="utf-8"?>
<ds:datastoreItem xmlns:ds="http://schemas.openxmlformats.org/officeDocument/2006/customXml" ds:itemID="{9A110FED-7B45-4A23-9445-49C1984A6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8f8e-5899-4a82-9cd4-b0b2869e5d15"/>
    <ds:schemaRef ds:uri="4a61c857-5e01-4a39-8c49-62c53e867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739</Words>
  <Characters>5967</Characters>
  <Application>Microsoft Office Word</Application>
  <DocSecurity>0</DocSecurity>
  <Lines>542</Lines>
  <Paragraphs>279</Paragraphs>
  <ScaleCrop>false</ScaleCrop>
  <Company>ITG</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 Vermaelen</dc:creator>
  <cp:lastModifiedBy>CJ Sword</cp:lastModifiedBy>
  <cp:revision>4</cp:revision>
  <cp:lastPrinted>2019-01-21T09:16:00Z</cp:lastPrinted>
  <dcterms:created xsi:type="dcterms:W3CDTF">2023-10-17T06:40:00Z</dcterms:created>
  <dcterms:modified xsi:type="dcterms:W3CDTF">2023-10-18T11:29:00Z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0x010100673E5B5C15B2794B9E04639F331392D9</vt:lpwstr>
  </property>
  <property fmtid="{D5CDD505-2E9C-101B-9397-08002B2CF9AE}" pid="3" name="AuthorIds_UIVersion_2560">
    <vt:lpwstr>20</vt:lpwstr>
  </property>
  <property fmtid="{D5CDD505-2E9C-101B-9397-08002B2CF9AE}" pid="4" name="AuthorIds_UIVersion_12800">
    <vt:lpwstr>20</vt:lpwstr>
  </property>
</Properties>
</file>