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71F9" w14:textId="660E7E2B" w:rsidR="00E13EBA" w:rsidRDefault="003174AB" w:rsidP="003174AB">
      <w:pPr>
        <w:ind w:left="3600"/>
        <w:rPr>
          <w:b/>
          <w:bCs/>
          <w:color w:val="000000" w:themeColor="text1"/>
          <w:sz w:val="24"/>
          <w:szCs w:val="24"/>
        </w:rPr>
      </w:pPr>
      <w:r w:rsidRPr="003174AB">
        <w:rPr>
          <w:b/>
          <w:bCs/>
          <w:color w:val="000000" w:themeColor="text1"/>
          <w:sz w:val="24"/>
          <w:szCs w:val="24"/>
        </w:rPr>
        <w:drawing>
          <wp:inline distT="0" distB="0" distL="0" distR="0" wp14:anchorId="550B37E6" wp14:editId="44739E54">
            <wp:extent cx="922655" cy="795867"/>
            <wp:effectExtent l="0" t="0" r="4445" b="4445"/>
            <wp:docPr id="165" name="Image Gallery" descr="Image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Gallery" descr="Image Gallery"/>
                    <pic:cNvPicPr>
                      <a:picLocks noChangeAspect="1"/>
                    </pic:cNvPicPr>
                  </pic:nvPicPr>
                  <pic:blipFill>
                    <a:blip r:embed="rId5"/>
                    <a:srcRect l="230" r="230"/>
                    <a:stretch>
                      <a:fillRect/>
                    </a:stretch>
                  </pic:blipFill>
                  <pic:spPr>
                    <a:xfrm>
                      <a:off x="0" y="0"/>
                      <a:ext cx="924122" cy="79713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740B1D3F" w14:textId="228DDA41" w:rsidR="00860AAE" w:rsidRDefault="00E13EBA" w:rsidP="003174A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4"/>
          <w:szCs w:val="24"/>
        </w:rPr>
        <w:t>Biorepositories for the Public Good</w:t>
      </w:r>
      <w:r w:rsidR="00860AAE">
        <w:rPr>
          <w:b/>
          <w:bCs/>
          <w:sz w:val="28"/>
          <w:szCs w:val="28"/>
        </w:rPr>
        <w:t>:</w:t>
      </w:r>
    </w:p>
    <w:p w14:paraId="1BFC3737" w14:textId="49A58BA3" w:rsidR="00E13EBA" w:rsidRPr="00860AAE" w:rsidRDefault="00860AAE" w:rsidP="003174AB">
      <w:pPr>
        <w:jc w:val="center"/>
        <w:rPr>
          <w:b/>
          <w:bCs/>
          <w:color w:val="000000" w:themeColor="text1"/>
          <w:sz w:val="24"/>
          <w:szCs w:val="24"/>
        </w:rPr>
      </w:pPr>
      <w:r w:rsidRPr="00860AAE">
        <w:rPr>
          <w:b/>
          <w:bCs/>
          <w:sz w:val="24"/>
          <w:szCs w:val="24"/>
        </w:rPr>
        <w:t xml:space="preserve">Partnering for </w:t>
      </w:r>
      <w:r w:rsidR="00416843">
        <w:rPr>
          <w:b/>
          <w:bCs/>
          <w:sz w:val="24"/>
          <w:szCs w:val="24"/>
        </w:rPr>
        <w:t>R</w:t>
      </w:r>
      <w:r w:rsidRPr="00860AAE">
        <w:rPr>
          <w:b/>
          <w:bCs/>
          <w:sz w:val="24"/>
          <w:szCs w:val="24"/>
        </w:rPr>
        <w:t xml:space="preserve">esponse to </w:t>
      </w:r>
      <w:r>
        <w:rPr>
          <w:b/>
          <w:bCs/>
          <w:sz w:val="24"/>
          <w:szCs w:val="24"/>
        </w:rPr>
        <w:t xml:space="preserve">the </w:t>
      </w:r>
      <w:r w:rsidR="00416843">
        <w:rPr>
          <w:b/>
          <w:bCs/>
          <w:sz w:val="24"/>
          <w:szCs w:val="24"/>
        </w:rPr>
        <w:t>P</w:t>
      </w:r>
      <w:r w:rsidRPr="00860AAE">
        <w:rPr>
          <w:b/>
          <w:bCs/>
          <w:sz w:val="24"/>
          <w:szCs w:val="24"/>
        </w:rPr>
        <w:t xml:space="preserve">andemics of the </w:t>
      </w:r>
      <w:r w:rsidR="00416843">
        <w:rPr>
          <w:b/>
          <w:bCs/>
          <w:sz w:val="24"/>
          <w:szCs w:val="24"/>
        </w:rPr>
        <w:t>F</w:t>
      </w:r>
      <w:r w:rsidRPr="00860AAE">
        <w:rPr>
          <w:b/>
          <w:bCs/>
          <w:sz w:val="24"/>
          <w:szCs w:val="24"/>
        </w:rPr>
        <w:t>uture</w:t>
      </w:r>
    </w:p>
    <w:p w14:paraId="1A9D9FF6" w14:textId="0EE11347" w:rsidR="00802CE3" w:rsidRPr="00484D4B" w:rsidRDefault="00802CE3" w:rsidP="00802CE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CONCEPT</w:t>
      </w:r>
    </w:p>
    <w:p w14:paraId="0551D1F4" w14:textId="7A34C5AF" w:rsidR="00484D4B" w:rsidRPr="00416843" w:rsidRDefault="00802CE3" w:rsidP="00416843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416843">
        <w:rPr>
          <w:color w:val="000000" w:themeColor="text1"/>
          <w:sz w:val="24"/>
          <w:szCs w:val="24"/>
        </w:rPr>
        <w:t>Empower individual and regional sites to collect, retain and share quality specimens for advancing research, diagnostics, vaccines</w:t>
      </w:r>
      <w:r w:rsidR="0064148A">
        <w:rPr>
          <w:color w:val="000000" w:themeColor="text1"/>
          <w:sz w:val="24"/>
          <w:szCs w:val="24"/>
        </w:rPr>
        <w:t>,</w:t>
      </w:r>
      <w:r w:rsidRPr="00416843">
        <w:rPr>
          <w:color w:val="000000" w:themeColor="text1"/>
          <w:sz w:val="24"/>
          <w:szCs w:val="24"/>
        </w:rPr>
        <w:t xml:space="preserve"> and therapeutics for infectious diseases of high concern</w:t>
      </w:r>
      <w:r w:rsidR="0001632F" w:rsidRPr="00416843">
        <w:rPr>
          <w:color w:val="000000" w:themeColor="text1"/>
          <w:sz w:val="24"/>
          <w:szCs w:val="24"/>
        </w:rPr>
        <w:t xml:space="preserve">.  </w:t>
      </w:r>
    </w:p>
    <w:p w14:paraId="43EB69DE" w14:textId="3CBA9BB9" w:rsidR="00093D79" w:rsidRDefault="0001632F" w:rsidP="00416843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416843">
        <w:rPr>
          <w:color w:val="000000" w:themeColor="text1"/>
          <w:sz w:val="24"/>
          <w:szCs w:val="24"/>
        </w:rPr>
        <w:t>Coalesce as a federated virtual biorepository partnership with members find</w:t>
      </w:r>
      <w:r w:rsidR="00416843">
        <w:rPr>
          <w:color w:val="000000" w:themeColor="text1"/>
          <w:sz w:val="24"/>
          <w:szCs w:val="24"/>
        </w:rPr>
        <w:t>ing</w:t>
      </w:r>
      <w:r w:rsidRPr="00416843">
        <w:rPr>
          <w:color w:val="000000" w:themeColor="text1"/>
          <w:sz w:val="24"/>
          <w:szCs w:val="24"/>
        </w:rPr>
        <w:t xml:space="preserve"> solutions to access high-quality materials for public health needs</w:t>
      </w:r>
    </w:p>
    <w:p w14:paraId="58556777" w14:textId="7B0F109E" w:rsidR="00596AB3" w:rsidRDefault="00416843" w:rsidP="00802CE3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82635">
        <w:rPr>
          <w:color w:val="000000" w:themeColor="text1"/>
          <w:sz w:val="24"/>
          <w:szCs w:val="24"/>
        </w:rPr>
        <w:t>Achieve goal through a trusted and sustainable system committed to equitable access and benefits sharing</w:t>
      </w:r>
    </w:p>
    <w:p w14:paraId="504B7BC1" w14:textId="77777777" w:rsidR="00596AB3" w:rsidRDefault="00596AB3" w:rsidP="00596AB3">
      <w:pPr>
        <w:pStyle w:val="ListParagraph"/>
        <w:ind w:left="-90" w:firstLine="90"/>
        <w:rPr>
          <w:color w:val="000000" w:themeColor="text1"/>
          <w:sz w:val="24"/>
          <w:szCs w:val="24"/>
        </w:rPr>
      </w:pPr>
    </w:p>
    <w:p w14:paraId="14B69383" w14:textId="59594225" w:rsidR="0001632F" w:rsidRPr="00982635" w:rsidRDefault="0001632F" w:rsidP="00982635">
      <w:pPr>
        <w:pStyle w:val="ListParagraph"/>
        <w:ind w:left="-90" w:firstLine="90"/>
        <w:rPr>
          <w:color w:val="000000" w:themeColor="text1"/>
          <w:sz w:val="24"/>
          <w:szCs w:val="24"/>
        </w:rPr>
      </w:pPr>
      <w:r w:rsidRPr="00982635">
        <w:rPr>
          <w:color w:val="000000" w:themeColor="text1"/>
          <w:sz w:val="24"/>
          <w:szCs w:val="24"/>
        </w:rPr>
        <w:t>APPROACH</w:t>
      </w:r>
    </w:p>
    <w:p w14:paraId="429CF64E" w14:textId="3578BFAB" w:rsidR="00A65049" w:rsidRPr="00A65049" w:rsidRDefault="0001632F" w:rsidP="00A65049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Stepwise approach from inception to realization through building </w:t>
      </w:r>
      <w:r w:rsidR="00FF12E0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>coalition of partners</w:t>
      </w:r>
      <w:r w:rsidR="00B25039">
        <w:rPr>
          <w:color w:val="000000" w:themeColor="text1"/>
          <w:sz w:val="24"/>
          <w:szCs w:val="24"/>
        </w:rPr>
        <w:t xml:space="preserve"> (Previous webinar)</w:t>
      </w:r>
    </w:p>
    <w:p w14:paraId="470F95FF" w14:textId="61A5507A" w:rsidR="00A65049" w:rsidRDefault="00FF12E0" w:rsidP="0001632F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Develop </w:t>
      </w:r>
      <w:r w:rsidR="00A65049">
        <w:rPr>
          <w:color w:val="000000" w:themeColor="text1"/>
          <w:sz w:val="24"/>
          <w:szCs w:val="24"/>
        </w:rPr>
        <w:t>working groups</w:t>
      </w:r>
      <w:r w:rsidR="00B25039">
        <w:rPr>
          <w:color w:val="000000" w:themeColor="text1"/>
          <w:sz w:val="24"/>
          <w:szCs w:val="24"/>
        </w:rPr>
        <w:t xml:space="preserve"> (This webinar workshop)</w:t>
      </w:r>
    </w:p>
    <w:p w14:paraId="34083698" w14:textId="06C2E552" w:rsidR="00A65049" w:rsidRDefault="00A65049" w:rsidP="00A65049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Prioritize specimen and data types</w:t>
      </w:r>
      <w:r w:rsidR="00FF12E0">
        <w:rPr>
          <w:color w:val="000000" w:themeColor="text1"/>
          <w:sz w:val="24"/>
          <w:szCs w:val="24"/>
        </w:rPr>
        <w:t xml:space="preserve"> for a virtual biorepository</w:t>
      </w:r>
    </w:p>
    <w:p w14:paraId="762EF4FF" w14:textId="77777777" w:rsidR="000A6165" w:rsidRDefault="000A6165" w:rsidP="00A65049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Solutions to barriers in accessing specimens and data</w:t>
      </w:r>
    </w:p>
    <w:p w14:paraId="3C522456" w14:textId="618606D3" w:rsidR="0001632F" w:rsidRDefault="000A6165" w:rsidP="00A65049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Identify benefits to users and contributors under a </w:t>
      </w:r>
      <w:r w:rsidR="00A65049">
        <w:rPr>
          <w:color w:val="000000" w:themeColor="text1"/>
          <w:sz w:val="24"/>
          <w:szCs w:val="24"/>
        </w:rPr>
        <w:t>sustainab</w:t>
      </w:r>
      <w:r>
        <w:rPr>
          <w:color w:val="000000" w:themeColor="text1"/>
          <w:sz w:val="24"/>
          <w:szCs w:val="24"/>
        </w:rPr>
        <w:t>le plan</w:t>
      </w:r>
    </w:p>
    <w:p w14:paraId="153EF2FD" w14:textId="1F244AFB" w:rsidR="00A65049" w:rsidRDefault="003F6114" w:rsidP="00A65049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Operational</w:t>
      </w:r>
      <w:r w:rsidR="000A6165">
        <w:rPr>
          <w:color w:val="000000" w:themeColor="text1"/>
          <w:sz w:val="24"/>
          <w:szCs w:val="24"/>
        </w:rPr>
        <w:t>ize</w:t>
      </w:r>
      <w:r w:rsidR="00A65049">
        <w:rPr>
          <w:color w:val="000000" w:themeColor="text1"/>
          <w:sz w:val="24"/>
          <w:szCs w:val="24"/>
        </w:rPr>
        <w:t xml:space="preserve"> </w:t>
      </w:r>
      <w:r w:rsidR="000A6165">
        <w:rPr>
          <w:color w:val="000000" w:themeColor="text1"/>
          <w:sz w:val="24"/>
          <w:szCs w:val="24"/>
        </w:rPr>
        <w:t>coalition</w:t>
      </w:r>
      <w:r>
        <w:rPr>
          <w:color w:val="000000" w:themeColor="text1"/>
          <w:sz w:val="24"/>
          <w:szCs w:val="24"/>
        </w:rPr>
        <w:t xml:space="preserve"> model</w:t>
      </w:r>
      <w:r w:rsidR="00B25039">
        <w:rPr>
          <w:color w:val="000000" w:themeColor="text1"/>
          <w:sz w:val="24"/>
          <w:szCs w:val="24"/>
        </w:rPr>
        <w:t xml:space="preserve"> (</w:t>
      </w:r>
      <w:r w:rsidR="00C63BC1">
        <w:rPr>
          <w:color w:val="000000" w:themeColor="text1"/>
          <w:sz w:val="24"/>
          <w:szCs w:val="24"/>
        </w:rPr>
        <w:t>Future</w:t>
      </w:r>
      <w:r w:rsidR="00B25039">
        <w:rPr>
          <w:color w:val="000000" w:themeColor="text1"/>
          <w:sz w:val="24"/>
          <w:szCs w:val="24"/>
        </w:rPr>
        <w:t xml:space="preserve"> implementation)</w:t>
      </w:r>
    </w:p>
    <w:p w14:paraId="17B0C88B" w14:textId="1EC95E58" w:rsidR="000A6165" w:rsidRDefault="000A6165" w:rsidP="000A6165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Pilot in volunteer sites</w:t>
      </w:r>
    </w:p>
    <w:p w14:paraId="786591D7" w14:textId="7F676C59" w:rsidR="000A6165" w:rsidRDefault="000A6165" w:rsidP="000A6165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Harmonize sample sharing mechanisms</w:t>
      </w:r>
    </w:p>
    <w:p w14:paraId="3DB48293" w14:textId="742AC290" w:rsidR="00416843" w:rsidRDefault="00416843" w:rsidP="000A6165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Provide access to benefits sharing </w:t>
      </w:r>
    </w:p>
    <w:p w14:paraId="26683616" w14:textId="30426D4A" w:rsidR="0026087A" w:rsidRPr="00416843" w:rsidRDefault="002A7FD7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027CAC" w:rsidRPr="00416843">
        <w:rPr>
          <w:color w:val="000000" w:themeColor="text1"/>
          <w:sz w:val="24"/>
          <w:szCs w:val="24"/>
        </w:rPr>
        <w:t>est a sustainable a</w:t>
      </w:r>
      <w:r w:rsidR="00027CAC" w:rsidRPr="00027CAC">
        <w:rPr>
          <w:color w:val="000000" w:themeColor="text1"/>
          <w:sz w:val="24"/>
          <w:szCs w:val="24"/>
        </w:rPr>
        <w:t xml:space="preserve">nd equitable business model </w:t>
      </w:r>
      <w:r w:rsidR="00027CAC" w:rsidRPr="00416843">
        <w:rPr>
          <w:color w:val="000000" w:themeColor="text1"/>
          <w:sz w:val="24"/>
          <w:szCs w:val="24"/>
          <w:highlight w:val="yellow"/>
        </w:rPr>
        <w:t xml:space="preserve"> </w:t>
      </w:r>
    </w:p>
    <w:p w14:paraId="5B85A43B" w14:textId="77777777" w:rsidR="003174AB" w:rsidRDefault="000A6165" w:rsidP="003174AB">
      <w:pPr>
        <w:spacing w:after="0" w:line="240" w:lineRule="auto"/>
        <w:rPr>
          <w:color w:val="000000" w:themeColor="text1"/>
          <w:sz w:val="24"/>
          <w:szCs w:val="24"/>
        </w:rPr>
      </w:pPr>
      <w:r w:rsidRPr="00027CAC">
        <w:rPr>
          <w:color w:val="000000" w:themeColor="text1"/>
          <w:sz w:val="24"/>
          <w:szCs w:val="24"/>
        </w:rPr>
        <w:t>B</w:t>
      </w:r>
      <w:r w:rsidR="003174AB">
        <w:rPr>
          <w:color w:val="000000" w:themeColor="text1"/>
          <w:sz w:val="24"/>
          <w:szCs w:val="24"/>
        </w:rPr>
        <w:t>ACKGROUND</w:t>
      </w:r>
    </w:p>
    <w:p w14:paraId="1FAD11A2" w14:textId="3E7C36B1" w:rsidR="00AB0D19" w:rsidRPr="003174AB" w:rsidRDefault="00802CE3" w:rsidP="003174AB">
      <w:pPr>
        <w:spacing w:after="0" w:line="240" w:lineRule="auto"/>
        <w:rPr>
          <w:color w:val="000000" w:themeColor="text1"/>
          <w:sz w:val="24"/>
          <w:szCs w:val="24"/>
        </w:rPr>
      </w:pPr>
      <w:r w:rsidRPr="00AF4D2E">
        <w:rPr>
          <w:rFonts w:cstheme="minorHAnsi"/>
          <w:sz w:val="24"/>
          <w:szCs w:val="24"/>
        </w:rPr>
        <w:t>Access to well</w:t>
      </w:r>
      <w:r w:rsidR="00FC6117">
        <w:rPr>
          <w:rFonts w:cstheme="minorHAnsi"/>
          <w:sz w:val="24"/>
          <w:szCs w:val="24"/>
        </w:rPr>
        <w:t>-</w:t>
      </w:r>
      <w:r w:rsidRPr="00AF4D2E">
        <w:rPr>
          <w:rFonts w:cstheme="minorHAnsi"/>
          <w:sz w:val="24"/>
          <w:szCs w:val="24"/>
        </w:rPr>
        <w:t>characterized quality specimens</w:t>
      </w:r>
      <w:r>
        <w:rPr>
          <w:rFonts w:cstheme="minorHAnsi"/>
          <w:sz w:val="24"/>
          <w:szCs w:val="24"/>
        </w:rPr>
        <w:t xml:space="preserve"> </w:t>
      </w:r>
      <w:r w:rsidR="00093D79">
        <w:rPr>
          <w:rFonts w:cstheme="minorHAnsi"/>
          <w:sz w:val="24"/>
          <w:szCs w:val="24"/>
        </w:rPr>
        <w:t xml:space="preserve">and </w:t>
      </w:r>
      <w:r w:rsidR="00C42B8E">
        <w:rPr>
          <w:rFonts w:cstheme="minorHAnsi"/>
          <w:sz w:val="24"/>
          <w:szCs w:val="24"/>
        </w:rPr>
        <w:t>associated data</w:t>
      </w:r>
      <w:r w:rsidRPr="00AF4D2E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 xml:space="preserve">a key barrier </w:t>
      </w:r>
      <w:r w:rsidR="000A6165">
        <w:rPr>
          <w:rFonts w:cstheme="minorHAnsi"/>
          <w:sz w:val="24"/>
          <w:szCs w:val="24"/>
        </w:rPr>
        <w:t>for research and development of medical countermeasures</w:t>
      </w:r>
      <w:r>
        <w:rPr>
          <w:rFonts w:cstheme="minorHAnsi"/>
          <w:sz w:val="24"/>
          <w:szCs w:val="24"/>
        </w:rPr>
        <w:t xml:space="preserve">. </w:t>
      </w:r>
      <w:r w:rsidR="00093D79">
        <w:rPr>
          <w:rFonts w:cstheme="minorHAnsi"/>
          <w:sz w:val="24"/>
          <w:szCs w:val="24"/>
        </w:rPr>
        <w:t xml:space="preserve">There are existing resources that </w:t>
      </w:r>
      <w:r w:rsidR="00FC6117">
        <w:rPr>
          <w:rFonts w:cstheme="minorHAnsi"/>
          <w:sz w:val="24"/>
          <w:szCs w:val="24"/>
        </w:rPr>
        <w:t>provide samples</w:t>
      </w:r>
      <w:r w:rsidR="00596AB3">
        <w:rPr>
          <w:rFonts w:cstheme="minorHAnsi"/>
          <w:sz w:val="24"/>
          <w:szCs w:val="24"/>
        </w:rPr>
        <w:t>,</w:t>
      </w:r>
      <w:r w:rsidR="00FC6117">
        <w:rPr>
          <w:rFonts w:cstheme="minorHAnsi"/>
          <w:sz w:val="24"/>
          <w:szCs w:val="24"/>
        </w:rPr>
        <w:t xml:space="preserve"> </w:t>
      </w:r>
      <w:r w:rsidR="00093D79">
        <w:rPr>
          <w:rFonts w:cstheme="minorHAnsi"/>
          <w:sz w:val="24"/>
          <w:szCs w:val="24"/>
        </w:rPr>
        <w:t xml:space="preserve">but </w:t>
      </w:r>
      <w:r w:rsidR="00AB0D19">
        <w:rPr>
          <w:rFonts w:cstheme="minorHAnsi"/>
          <w:sz w:val="24"/>
          <w:szCs w:val="24"/>
        </w:rPr>
        <w:t xml:space="preserve">most have </w:t>
      </w:r>
      <w:r w:rsidR="00FC6117">
        <w:rPr>
          <w:rFonts w:cstheme="minorHAnsi"/>
          <w:sz w:val="24"/>
          <w:szCs w:val="24"/>
        </w:rPr>
        <w:t xml:space="preserve">limited </w:t>
      </w:r>
      <w:r w:rsidR="00C42B8E">
        <w:rPr>
          <w:rFonts w:cstheme="minorHAnsi"/>
          <w:sz w:val="24"/>
          <w:szCs w:val="24"/>
        </w:rPr>
        <w:t>access or</w:t>
      </w:r>
      <w:r w:rsidR="00AB0D19">
        <w:rPr>
          <w:rFonts w:cstheme="minorHAnsi"/>
          <w:sz w:val="24"/>
          <w:szCs w:val="24"/>
        </w:rPr>
        <w:t xml:space="preserve"> </w:t>
      </w:r>
      <w:r w:rsidR="00093D79">
        <w:rPr>
          <w:rFonts w:cstheme="minorHAnsi"/>
          <w:sz w:val="24"/>
          <w:szCs w:val="24"/>
        </w:rPr>
        <w:t xml:space="preserve">are collections of convenience and not fully representative of biological and geographical breadth. </w:t>
      </w:r>
      <w:r w:rsidR="00FC6117">
        <w:rPr>
          <w:rFonts w:cstheme="minorHAnsi"/>
          <w:sz w:val="24"/>
          <w:szCs w:val="24"/>
        </w:rPr>
        <w:t xml:space="preserve"> </w:t>
      </w:r>
      <w:r w:rsidR="00B25039">
        <w:rPr>
          <w:rFonts w:cstheme="minorHAnsi"/>
          <w:sz w:val="24"/>
          <w:szCs w:val="24"/>
        </w:rPr>
        <w:t xml:space="preserve">Our purpose is </w:t>
      </w:r>
      <w:r w:rsidR="00093D79">
        <w:rPr>
          <w:rFonts w:cstheme="minorHAnsi"/>
          <w:sz w:val="24"/>
          <w:szCs w:val="24"/>
        </w:rPr>
        <w:t xml:space="preserve">to </w:t>
      </w:r>
      <w:r w:rsidR="00B25039">
        <w:rPr>
          <w:rFonts w:cstheme="minorHAnsi"/>
          <w:sz w:val="24"/>
          <w:szCs w:val="24"/>
        </w:rPr>
        <w:t xml:space="preserve">align with </w:t>
      </w:r>
      <w:r w:rsidR="00093D79">
        <w:rPr>
          <w:rFonts w:cstheme="minorHAnsi"/>
          <w:sz w:val="24"/>
          <w:szCs w:val="24"/>
        </w:rPr>
        <w:t xml:space="preserve">current </w:t>
      </w:r>
      <w:r w:rsidR="00B25039">
        <w:rPr>
          <w:rFonts w:cstheme="minorHAnsi"/>
          <w:sz w:val="24"/>
          <w:szCs w:val="24"/>
        </w:rPr>
        <w:t>initiatives at the WHO, CEPI, FIND, NIH, PATH, EVA-G</w:t>
      </w:r>
      <w:r w:rsidR="00093D79">
        <w:rPr>
          <w:rFonts w:cstheme="minorHAnsi"/>
          <w:sz w:val="24"/>
          <w:szCs w:val="24"/>
        </w:rPr>
        <w:t>,</w:t>
      </w:r>
      <w:r w:rsidR="00FF12E0">
        <w:rPr>
          <w:rFonts w:cstheme="minorHAnsi"/>
          <w:sz w:val="24"/>
          <w:szCs w:val="24"/>
        </w:rPr>
        <w:t xml:space="preserve"> and the public health and research </w:t>
      </w:r>
      <w:proofErr w:type="gramStart"/>
      <w:r w:rsidR="00FF12E0">
        <w:rPr>
          <w:rFonts w:cstheme="minorHAnsi"/>
          <w:sz w:val="24"/>
          <w:szCs w:val="24"/>
        </w:rPr>
        <w:t>community</w:t>
      </w:r>
      <w:r w:rsidR="00093D79">
        <w:rPr>
          <w:rFonts w:cstheme="minorHAnsi"/>
          <w:sz w:val="24"/>
          <w:szCs w:val="24"/>
        </w:rPr>
        <w:t xml:space="preserve"> </w:t>
      </w:r>
      <w:r w:rsidR="00B25039">
        <w:rPr>
          <w:rFonts w:cstheme="minorHAnsi"/>
          <w:sz w:val="24"/>
          <w:szCs w:val="24"/>
        </w:rPr>
        <w:t xml:space="preserve"> to</w:t>
      </w:r>
      <w:proofErr w:type="gramEnd"/>
      <w:r w:rsidR="00B25039">
        <w:rPr>
          <w:rFonts w:cstheme="minorHAnsi"/>
          <w:sz w:val="24"/>
          <w:szCs w:val="24"/>
        </w:rPr>
        <w:t xml:space="preserve"> </w:t>
      </w:r>
      <w:r w:rsidR="00093D79">
        <w:rPr>
          <w:rFonts w:cstheme="minorHAnsi"/>
          <w:sz w:val="24"/>
          <w:szCs w:val="24"/>
        </w:rPr>
        <w:t xml:space="preserve">facilitate </w:t>
      </w:r>
      <w:r w:rsidR="00B25039">
        <w:rPr>
          <w:rFonts w:cstheme="minorHAnsi"/>
          <w:sz w:val="24"/>
          <w:szCs w:val="24"/>
        </w:rPr>
        <w:t xml:space="preserve">sample </w:t>
      </w:r>
      <w:r w:rsidR="00093D79">
        <w:rPr>
          <w:rFonts w:cstheme="minorHAnsi"/>
          <w:sz w:val="24"/>
          <w:szCs w:val="24"/>
        </w:rPr>
        <w:t xml:space="preserve">and resource </w:t>
      </w:r>
      <w:r w:rsidR="00B25039">
        <w:rPr>
          <w:rFonts w:cstheme="minorHAnsi"/>
          <w:sz w:val="24"/>
          <w:szCs w:val="24"/>
        </w:rPr>
        <w:t xml:space="preserve">sharing at critical response periods to emerging pathogens and infectious diseases of public health interest.  </w:t>
      </w:r>
      <w:r w:rsidR="00FC6117">
        <w:rPr>
          <w:rFonts w:cstheme="minorHAnsi"/>
          <w:sz w:val="24"/>
          <w:szCs w:val="24"/>
        </w:rPr>
        <w:t>Most</w:t>
      </w:r>
      <w:r w:rsidR="00C42B8E">
        <w:rPr>
          <w:rFonts w:cstheme="minorHAnsi"/>
          <w:sz w:val="24"/>
          <w:szCs w:val="24"/>
        </w:rPr>
        <w:t xml:space="preserve"> accessible</w:t>
      </w:r>
      <w:r w:rsidR="00FC6117">
        <w:rPr>
          <w:rFonts w:cstheme="minorHAnsi"/>
          <w:sz w:val="24"/>
          <w:szCs w:val="24"/>
        </w:rPr>
        <w:t xml:space="preserve"> samples are collected</w:t>
      </w:r>
      <w:r w:rsidR="00093D79">
        <w:rPr>
          <w:rFonts w:cstheme="minorHAnsi"/>
          <w:sz w:val="24"/>
          <w:szCs w:val="24"/>
        </w:rPr>
        <w:t xml:space="preserve"> for</w:t>
      </w:r>
      <w:r w:rsidR="00FC6117">
        <w:rPr>
          <w:rFonts w:cstheme="minorHAnsi"/>
          <w:sz w:val="24"/>
          <w:szCs w:val="24"/>
        </w:rPr>
        <w:t xml:space="preserve"> existing programs </w:t>
      </w:r>
      <w:r w:rsidR="00596AB3">
        <w:rPr>
          <w:rFonts w:cstheme="minorHAnsi"/>
          <w:sz w:val="24"/>
          <w:szCs w:val="24"/>
        </w:rPr>
        <w:t xml:space="preserve">or </w:t>
      </w:r>
      <w:r w:rsidR="00FC6117">
        <w:rPr>
          <w:rFonts w:cstheme="minorHAnsi"/>
          <w:sz w:val="24"/>
          <w:szCs w:val="24"/>
        </w:rPr>
        <w:t>projects</w:t>
      </w:r>
      <w:r w:rsidR="00596AB3">
        <w:rPr>
          <w:rFonts w:cstheme="minorHAnsi"/>
          <w:sz w:val="24"/>
          <w:szCs w:val="24"/>
        </w:rPr>
        <w:t xml:space="preserve">, </w:t>
      </w:r>
      <w:r w:rsidR="00F17562">
        <w:rPr>
          <w:rFonts w:cstheme="minorHAnsi"/>
          <w:sz w:val="24"/>
          <w:szCs w:val="24"/>
        </w:rPr>
        <w:t xml:space="preserve">few </w:t>
      </w:r>
      <w:r w:rsidR="00AB0D19">
        <w:rPr>
          <w:rFonts w:cstheme="minorHAnsi"/>
          <w:sz w:val="24"/>
          <w:szCs w:val="24"/>
        </w:rPr>
        <w:t xml:space="preserve">are collected with the intent to share broadly </w:t>
      </w:r>
      <w:r w:rsidR="00FC6117">
        <w:rPr>
          <w:rFonts w:cstheme="minorHAnsi"/>
          <w:sz w:val="24"/>
          <w:szCs w:val="24"/>
        </w:rPr>
        <w:t>to advance</w:t>
      </w:r>
      <w:r w:rsidR="00093D79">
        <w:rPr>
          <w:rFonts w:cstheme="minorHAnsi"/>
          <w:sz w:val="24"/>
          <w:szCs w:val="24"/>
        </w:rPr>
        <w:t xml:space="preserve"> </w:t>
      </w:r>
      <w:r w:rsidR="00093D79">
        <w:rPr>
          <w:color w:val="000000" w:themeColor="text1"/>
          <w:sz w:val="24"/>
          <w:szCs w:val="24"/>
        </w:rPr>
        <w:t>research, diagnostics, vaccines</w:t>
      </w:r>
      <w:r w:rsidR="0064148A">
        <w:rPr>
          <w:color w:val="000000" w:themeColor="text1"/>
          <w:sz w:val="24"/>
          <w:szCs w:val="24"/>
        </w:rPr>
        <w:t>,</w:t>
      </w:r>
      <w:r w:rsidR="00093D79">
        <w:rPr>
          <w:color w:val="000000" w:themeColor="text1"/>
          <w:sz w:val="24"/>
          <w:szCs w:val="24"/>
        </w:rPr>
        <w:t xml:space="preserve"> and therapeutics for infectious diseases of high concern</w:t>
      </w:r>
      <w:r w:rsidR="00F17562">
        <w:rPr>
          <w:rFonts w:cstheme="minorHAnsi"/>
          <w:sz w:val="24"/>
          <w:szCs w:val="24"/>
        </w:rPr>
        <w:t xml:space="preserve">. </w:t>
      </w:r>
    </w:p>
    <w:p w14:paraId="47FF7418" w14:textId="77777777" w:rsidR="00AB0D19" w:rsidRDefault="00AB0D19" w:rsidP="00802CE3">
      <w:pPr>
        <w:pStyle w:val="ListParagraph"/>
        <w:ind w:left="0"/>
        <w:rPr>
          <w:rFonts w:cstheme="minorHAnsi"/>
          <w:sz w:val="24"/>
          <w:szCs w:val="24"/>
        </w:rPr>
      </w:pPr>
    </w:p>
    <w:p w14:paraId="406DDB06" w14:textId="3E4B08EE" w:rsidR="00802CE3" w:rsidRDefault="00FC6117" w:rsidP="00802CE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open-source,</w:t>
      </w:r>
      <w:r w:rsidR="00802CE3">
        <w:rPr>
          <w:rFonts w:cstheme="minorHAnsi"/>
          <w:sz w:val="24"/>
          <w:szCs w:val="24"/>
        </w:rPr>
        <w:t xml:space="preserve"> trusted, enduring resource of quality samples</w:t>
      </w:r>
      <w:r w:rsidR="000A61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remains </w:t>
      </w:r>
      <w:r w:rsidR="0064148A">
        <w:rPr>
          <w:rFonts w:cstheme="minorHAnsi"/>
          <w:sz w:val="24"/>
          <w:szCs w:val="24"/>
        </w:rPr>
        <w:t>unrealized,</w:t>
      </w:r>
      <w:r w:rsidR="00802CE3">
        <w:rPr>
          <w:rFonts w:cstheme="minorHAnsi"/>
          <w:sz w:val="24"/>
          <w:szCs w:val="24"/>
        </w:rPr>
        <w:t xml:space="preserve"> and the need is </w:t>
      </w:r>
      <w:r w:rsidR="00802CE3" w:rsidRPr="00AF4D2E">
        <w:rPr>
          <w:rFonts w:cstheme="minorHAnsi"/>
          <w:sz w:val="24"/>
          <w:szCs w:val="24"/>
        </w:rPr>
        <w:t xml:space="preserve">evident each time a new outbreak emerges (Zika in 2016, COVID-19 in 2020). </w:t>
      </w:r>
      <w:r w:rsidR="009D7D1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 </w:t>
      </w:r>
      <w:r w:rsidR="00F17562">
        <w:rPr>
          <w:rFonts w:cstheme="minorHAnsi"/>
          <w:sz w:val="24"/>
          <w:szCs w:val="24"/>
        </w:rPr>
        <w:t xml:space="preserve">system that </w:t>
      </w:r>
      <w:r>
        <w:rPr>
          <w:rFonts w:cstheme="minorHAnsi"/>
          <w:sz w:val="24"/>
          <w:szCs w:val="24"/>
        </w:rPr>
        <w:t>target</w:t>
      </w:r>
      <w:r w:rsidR="00F17562">
        <w:rPr>
          <w:rFonts w:cstheme="minorHAnsi"/>
          <w:sz w:val="24"/>
          <w:szCs w:val="24"/>
        </w:rPr>
        <w:t>s locally owned</w:t>
      </w:r>
      <w:r>
        <w:rPr>
          <w:rFonts w:cstheme="minorHAnsi"/>
          <w:sz w:val="24"/>
          <w:szCs w:val="24"/>
        </w:rPr>
        <w:t xml:space="preserve"> prospective</w:t>
      </w:r>
      <w:r w:rsidR="00F17562">
        <w:rPr>
          <w:rFonts w:cstheme="minorHAnsi"/>
          <w:sz w:val="24"/>
          <w:szCs w:val="24"/>
        </w:rPr>
        <w:t xml:space="preserve"> or </w:t>
      </w:r>
      <w:r w:rsidR="000A2F6F">
        <w:rPr>
          <w:rFonts w:cstheme="minorHAnsi"/>
          <w:sz w:val="24"/>
          <w:szCs w:val="24"/>
        </w:rPr>
        <w:t xml:space="preserve">existing </w:t>
      </w:r>
      <w:r w:rsidR="00F17562">
        <w:rPr>
          <w:rFonts w:cstheme="minorHAnsi"/>
          <w:sz w:val="24"/>
          <w:szCs w:val="24"/>
        </w:rPr>
        <w:t xml:space="preserve">well-annotated </w:t>
      </w:r>
      <w:r>
        <w:rPr>
          <w:rFonts w:cstheme="minorHAnsi"/>
          <w:sz w:val="24"/>
          <w:szCs w:val="24"/>
        </w:rPr>
        <w:t>collection of quality samples</w:t>
      </w:r>
      <w:r w:rsidR="00F17562">
        <w:rPr>
          <w:rFonts w:cstheme="minorHAnsi"/>
          <w:sz w:val="24"/>
          <w:szCs w:val="24"/>
        </w:rPr>
        <w:t>, if realized, can fill this gap</w:t>
      </w:r>
      <w:r w:rsidR="0064148A">
        <w:rPr>
          <w:rFonts w:cstheme="minorHAnsi"/>
          <w:sz w:val="24"/>
          <w:szCs w:val="24"/>
        </w:rPr>
        <w:t>,</w:t>
      </w:r>
      <w:r w:rsidR="00F17562">
        <w:rPr>
          <w:rFonts w:cstheme="minorHAnsi"/>
          <w:sz w:val="24"/>
          <w:szCs w:val="24"/>
        </w:rPr>
        <w:t xml:space="preserve"> and allow for rapid development of diagnostic and therapeutic countermeasures.   </w:t>
      </w:r>
    </w:p>
    <w:p w14:paraId="517849D9" w14:textId="77777777" w:rsidR="00802CE3" w:rsidRDefault="00802CE3" w:rsidP="00802CE3">
      <w:pPr>
        <w:pStyle w:val="ListParagraph"/>
        <w:ind w:left="0"/>
        <w:rPr>
          <w:rFonts w:cstheme="minorHAnsi"/>
          <w:sz w:val="24"/>
          <w:szCs w:val="24"/>
        </w:rPr>
      </w:pPr>
    </w:p>
    <w:p w14:paraId="349F9BA5" w14:textId="7E3A8FC1" w:rsidR="00CF4FBA" w:rsidRDefault="00802CE3" w:rsidP="00802CE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</w:t>
      </w:r>
      <w:r w:rsidR="00F17562">
        <w:rPr>
          <w:rFonts w:cstheme="minorHAnsi"/>
          <w:sz w:val="24"/>
          <w:szCs w:val="24"/>
        </w:rPr>
        <w:t xml:space="preserve"> </w:t>
      </w:r>
      <w:r w:rsidRPr="00AF4D2E">
        <w:rPr>
          <w:rFonts w:cstheme="minorHAnsi"/>
          <w:sz w:val="24"/>
          <w:szCs w:val="24"/>
        </w:rPr>
        <w:t>workshop</w:t>
      </w:r>
      <w:r w:rsidR="00F17562">
        <w:rPr>
          <w:rFonts w:cstheme="minorHAnsi"/>
          <w:sz w:val="24"/>
          <w:szCs w:val="24"/>
        </w:rPr>
        <w:t xml:space="preserve"> take</w:t>
      </w:r>
      <w:r w:rsidR="009D7D14">
        <w:rPr>
          <w:rFonts w:cstheme="minorHAnsi"/>
          <w:sz w:val="24"/>
          <w:szCs w:val="24"/>
        </w:rPr>
        <w:t>s</w:t>
      </w:r>
      <w:r w:rsidR="00F17562">
        <w:rPr>
          <w:rFonts w:cstheme="minorHAnsi"/>
          <w:sz w:val="24"/>
          <w:szCs w:val="24"/>
        </w:rPr>
        <w:t xml:space="preserve"> the next step </w:t>
      </w:r>
      <w:r w:rsidR="00E81AC2">
        <w:rPr>
          <w:rFonts w:cstheme="minorHAnsi"/>
          <w:sz w:val="24"/>
          <w:szCs w:val="24"/>
        </w:rPr>
        <w:t>to our pre</w:t>
      </w:r>
      <w:r w:rsidR="009C3C90">
        <w:rPr>
          <w:rFonts w:cstheme="minorHAnsi"/>
          <w:sz w:val="24"/>
          <w:szCs w:val="24"/>
        </w:rPr>
        <w:t>v</w:t>
      </w:r>
      <w:r w:rsidR="00E81AC2">
        <w:rPr>
          <w:rFonts w:cstheme="minorHAnsi"/>
          <w:sz w:val="24"/>
          <w:szCs w:val="24"/>
        </w:rPr>
        <w:t xml:space="preserve">ious discussion in December 2020, and our </w:t>
      </w:r>
      <w:r w:rsidR="00F17562">
        <w:rPr>
          <w:rFonts w:cstheme="minorHAnsi"/>
          <w:sz w:val="24"/>
          <w:szCs w:val="24"/>
        </w:rPr>
        <w:t>grass-roots approach to build</w:t>
      </w:r>
      <w:r w:rsidR="009C3C90">
        <w:rPr>
          <w:rFonts w:cstheme="minorHAnsi"/>
          <w:sz w:val="24"/>
          <w:szCs w:val="24"/>
        </w:rPr>
        <w:t xml:space="preserve">ing a </w:t>
      </w:r>
      <w:r w:rsidR="00F17562">
        <w:rPr>
          <w:rFonts w:cstheme="minorHAnsi"/>
          <w:sz w:val="24"/>
          <w:szCs w:val="24"/>
        </w:rPr>
        <w:t xml:space="preserve">federated, locally owned coalition of willing partners to </w:t>
      </w:r>
      <w:r>
        <w:rPr>
          <w:rFonts w:cstheme="minorHAnsi"/>
          <w:sz w:val="24"/>
          <w:szCs w:val="24"/>
        </w:rPr>
        <w:t>explore</w:t>
      </w:r>
      <w:r w:rsidRPr="00AF4D2E">
        <w:rPr>
          <w:rFonts w:cstheme="minorHAnsi"/>
          <w:sz w:val="24"/>
          <w:szCs w:val="24"/>
        </w:rPr>
        <w:t xml:space="preserve"> key requirement for creating a sustainable </w:t>
      </w:r>
      <w:r w:rsidR="00F17562">
        <w:rPr>
          <w:rFonts w:cstheme="minorHAnsi"/>
          <w:sz w:val="24"/>
          <w:szCs w:val="24"/>
        </w:rPr>
        <w:t xml:space="preserve">a </w:t>
      </w:r>
      <w:r w:rsidRPr="00AF4D2E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irtual Biorepository</w:t>
      </w:r>
      <w:r w:rsidRPr="00CF4FBA">
        <w:rPr>
          <w:rFonts w:cstheme="minorHAnsi"/>
          <w:sz w:val="24"/>
          <w:szCs w:val="24"/>
        </w:rPr>
        <w:t xml:space="preserve"> </w:t>
      </w:r>
      <w:r w:rsidR="00F17562" w:rsidRPr="00F17562">
        <w:rPr>
          <w:rFonts w:cstheme="minorHAnsi"/>
          <w:sz w:val="24"/>
          <w:szCs w:val="24"/>
        </w:rPr>
        <w:t>(VB)</w:t>
      </w:r>
      <w:r w:rsidR="00F17562">
        <w:rPr>
          <w:rFonts w:cstheme="minorHAnsi"/>
          <w:sz w:val="24"/>
          <w:szCs w:val="24"/>
        </w:rPr>
        <w:t xml:space="preserve">.  In this workshop we </w:t>
      </w:r>
      <w:r w:rsidR="00CF4FBA">
        <w:rPr>
          <w:rFonts w:cstheme="minorHAnsi"/>
          <w:sz w:val="24"/>
          <w:szCs w:val="24"/>
        </w:rPr>
        <w:t>will</w:t>
      </w:r>
      <w:r w:rsidR="005A184A">
        <w:rPr>
          <w:rFonts w:cstheme="minorHAnsi"/>
          <w:sz w:val="24"/>
          <w:szCs w:val="24"/>
        </w:rPr>
        <w:t xml:space="preserve"> seek participants’ input on</w:t>
      </w:r>
      <w:r w:rsidR="00CF4FBA">
        <w:rPr>
          <w:rFonts w:cstheme="minorHAnsi"/>
          <w:sz w:val="24"/>
          <w:szCs w:val="24"/>
        </w:rPr>
        <w:t>:</w:t>
      </w:r>
    </w:p>
    <w:p w14:paraId="4DD10AB5" w14:textId="797397EC" w:rsidR="000A2F6F" w:rsidRPr="00416843" w:rsidRDefault="005A184A" w:rsidP="000A2F6F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416843">
        <w:rPr>
          <w:rFonts w:cstheme="minorHAnsi"/>
          <w:b/>
          <w:bCs/>
          <w:sz w:val="24"/>
          <w:szCs w:val="24"/>
        </w:rPr>
        <w:t>L</w:t>
      </w:r>
      <w:r w:rsidR="00CF4FBA" w:rsidRPr="00416843">
        <w:rPr>
          <w:rFonts w:cstheme="minorHAnsi"/>
          <w:b/>
          <w:bCs/>
          <w:sz w:val="24"/>
          <w:szCs w:val="24"/>
        </w:rPr>
        <w:t xml:space="preserve">essons learned from sample exchange and biorepository experience during </w:t>
      </w:r>
      <w:r w:rsidR="00B866F8">
        <w:rPr>
          <w:rFonts w:cstheme="minorHAnsi"/>
          <w:b/>
          <w:bCs/>
          <w:sz w:val="24"/>
          <w:szCs w:val="24"/>
        </w:rPr>
        <w:t>Dengue,</w:t>
      </w:r>
      <w:r w:rsidR="00CF4FBA" w:rsidRPr="00416843">
        <w:rPr>
          <w:rFonts w:cstheme="minorHAnsi"/>
          <w:b/>
          <w:bCs/>
          <w:sz w:val="24"/>
          <w:szCs w:val="24"/>
        </w:rPr>
        <w:t xml:space="preserve"> Zika epidemic</w:t>
      </w:r>
      <w:r w:rsidR="00B866F8">
        <w:rPr>
          <w:rFonts w:cstheme="minorHAnsi"/>
          <w:b/>
          <w:bCs/>
          <w:sz w:val="24"/>
          <w:szCs w:val="24"/>
        </w:rPr>
        <w:t>s</w:t>
      </w:r>
      <w:r w:rsidR="00CF4FBA" w:rsidRPr="00416843">
        <w:rPr>
          <w:rFonts w:cstheme="minorHAnsi"/>
          <w:b/>
          <w:bCs/>
          <w:sz w:val="24"/>
          <w:szCs w:val="24"/>
        </w:rPr>
        <w:t xml:space="preserve"> and COVID-19 pandemic respons</w:t>
      </w:r>
      <w:r w:rsidRPr="00416843">
        <w:rPr>
          <w:rFonts w:cstheme="minorHAnsi"/>
          <w:b/>
          <w:bCs/>
          <w:sz w:val="24"/>
          <w:szCs w:val="24"/>
        </w:rPr>
        <w:t>e</w:t>
      </w:r>
    </w:p>
    <w:p w14:paraId="2E76A669" w14:textId="730AA3A4" w:rsidR="000A2F6F" w:rsidRDefault="005A184A" w:rsidP="000A2F6F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types of samples should be prioritized to </w:t>
      </w:r>
      <w:r w:rsidR="00DE3917">
        <w:rPr>
          <w:rFonts w:cstheme="minorHAnsi"/>
          <w:sz w:val="24"/>
          <w:szCs w:val="24"/>
        </w:rPr>
        <w:t>store</w:t>
      </w:r>
      <w:r w:rsidR="0041684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share</w:t>
      </w:r>
      <w:r w:rsidR="0064148A">
        <w:rPr>
          <w:rFonts w:cstheme="minorHAnsi"/>
          <w:sz w:val="24"/>
          <w:szCs w:val="24"/>
        </w:rPr>
        <w:t>,</w:t>
      </w:r>
      <w:r w:rsidR="00416843">
        <w:rPr>
          <w:rFonts w:cstheme="minorHAnsi"/>
          <w:sz w:val="24"/>
          <w:szCs w:val="24"/>
        </w:rPr>
        <w:t xml:space="preserve"> and accrue</w:t>
      </w:r>
      <w:r>
        <w:rPr>
          <w:rFonts w:cstheme="minorHAnsi"/>
          <w:sz w:val="24"/>
          <w:szCs w:val="24"/>
        </w:rPr>
        <w:t>?</w:t>
      </w:r>
    </w:p>
    <w:p w14:paraId="6879B17D" w14:textId="2FF0C384" w:rsidR="000A2F6F" w:rsidRDefault="000A2F6F" w:rsidP="005A184A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="002B0E44">
        <w:rPr>
          <w:rFonts w:cstheme="minorHAnsi"/>
          <w:sz w:val="24"/>
          <w:szCs w:val="24"/>
        </w:rPr>
        <w:t xml:space="preserve"> </w:t>
      </w:r>
      <w:r w:rsidR="00641DCD">
        <w:rPr>
          <w:rFonts w:cstheme="minorHAnsi"/>
          <w:sz w:val="24"/>
          <w:szCs w:val="24"/>
        </w:rPr>
        <w:t xml:space="preserve">should be the minimal </w:t>
      </w:r>
      <w:r w:rsidR="004E2883">
        <w:rPr>
          <w:rFonts w:cstheme="minorHAnsi"/>
          <w:sz w:val="24"/>
          <w:szCs w:val="24"/>
        </w:rPr>
        <w:t xml:space="preserve">quality standards and criteria </w:t>
      </w:r>
      <w:r w:rsidR="00641DCD">
        <w:rPr>
          <w:rFonts w:cstheme="minorHAnsi"/>
          <w:sz w:val="24"/>
          <w:szCs w:val="24"/>
        </w:rPr>
        <w:t>for these samples and associated data</w:t>
      </w:r>
      <w:r w:rsidR="00416843">
        <w:rPr>
          <w:rFonts w:cstheme="minorHAnsi"/>
          <w:sz w:val="24"/>
          <w:szCs w:val="24"/>
        </w:rPr>
        <w:t>?</w:t>
      </w:r>
      <w:r w:rsidR="00C42B8E">
        <w:rPr>
          <w:rFonts w:cstheme="minorHAnsi"/>
          <w:i/>
          <w:iCs/>
          <w:sz w:val="24"/>
          <w:szCs w:val="24"/>
        </w:rPr>
        <w:t xml:space="preserve"> </w:t>
      </w:r>
    </w:p>
    <w:p w14:paraId="25A6C8AA" w14:textId="2F652E31" w:rsidR="0048531B" w:rsidRPr="00DA12E7" w:rsidRDefault="0048531B" w:rsidP="0048531B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should the many COVID-19 collections that now exist be made accessible?</w:t>
      </w:r>
      <w:r w:rsidR="006667B7">
        <w:rPr>
          <w:rFonts w:cstheme="minorHAnsi"/>
          <w:sz w:val="24"/>
          <w:szCs w:val="24"/>
        </w:rPr>
        <w:t xml:space="preserve"> </w:t>
      </w:r>
    </w:p>
    <w:p w14:paraId="109AD15F" w14:textId="64B1B973" w:rsidR="005A184A" w:rsidRPr="00416843" w:rsidRDefault="00CF4FBA" w:rsidP="00CF4FBA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416843">
        <w:rPr>
          <w:rFonts w:cstheme="minorHAnsi"/>
          <w:b/>
          <w:bCs/>
          <w:sz w:val="24"/>
          <w:szCs w:val="24"/>
        </w:rPr>
        <w:t>Identify</w:t>
      </w:r>
      <w:r w:rsidR="005A184A" w:rsidRPr="00416843">
        <w:rPr>
          <w:rFonts w:cstheme="minorHAnsi"/>
          <w:b/>
          <w:bCs/>
          <w:sz w:val="24"/>
          <w:szCs w:val="24"/>
        </w:rPr>
        <w:t>ing</w:t>
      </w:r>
      <w:r w:rsidRPr="00416843">
        <w:rPr>
          <w:rFonts w:cstheme="minorHAnsi"/>
          <w:b/>
          <w:bCs/>
          <w:sz w:val="24"/>
          <w:szCs w:val="24"/>
        </w:rPr>
        <w:t xml:space="preserve"> solutions to barriers that may interfere with timely access and benefits </w:t>
      </w:r>
      <w:r w:rsidR="005A184A" w:rsidRPr="00416843">
        <w:rPr>
          <w:rFonts w:cstheme="minorHAnsi"/>
          <w:b/>
          <w:bCs/>
          <w:sz w:val="24"/>
          <w:szCs w:val="24"/>
        </w:rPr>
        <w:t>sharing to users and providers alike</w:t>
      </w:r>
    </w:p>
    <w:p w14:paraId="2CE981C0" w14:textId="31D36B4C" w:rsidR="000E0EEB" w:rsidRDefault="00386037" w:rsidP="0038603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should specimens and data be collected and harmonized?</w:t>
      </w:r>
      <w:r w:rsidR="00DE3917">
        <w:rPr>
          <w:rFonts w:cstheme="minorHAnsi"/>
          <w:sz w:val="24"/>
          <w:szCs w:val="24"/>
        </w:rPr>
        <w:t xml:space="preserve"> </w:t>
      </w:r>
    </w:p>
    <w:p w14:paraId="1E062105" w14:textId="27A9EADB" w:rsidR="000E0EEB" w:rsidRPr="00416843" w:rsidRDefault="000E0EEB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possible solutions to legal and regulatory challenges that</w:t>
      </w:r>
      <w:r w:rsidR="00DE3917">
        <w:rPr>
          <w:rFonts w:cstheme="minorHAnsi"/>
          <w:sz w:val="24"/>
          <w:szCs w:val="24"/>
        </w:rPr>
        <w:t xml:space="preserve"> </w:t>
      </w:r>
      <w:r w:rsidR="009C3C90">
        <w:rPr>
          <w:rFonts w:cstheme="minorHAnsi"/>
          <w:sz w:val="24"/>
          <w:szCs w:val="24"/>
        </w:rPr>
        <w:t>impede</w:t>
      </w:r>
      <w:r>
        <w:rPr>
          <w:rFonts w:cstheme="minorHAnsi"/>
          <w:sz w:val="24"/>
          <w:szCs w:val="24"/>
        </w:rPr>
        <w:t xml:space="preserve"> timely sharing such as: local laws, shipping, and </w:t>
      </w:r>
      <w:r w:rsidRPr="00416843">
        <w:rPr>
          <w:rFonts w:cstheme="minorHAnsi"/>
          <w:sz w:val="24"/>
          <w:szCs w:val="24"/>
        </w:rPr>
        <w:t>benefit sharing policies like the Nagoya protocol</w:t>
      </w:r>
      <w:r w:rsidR="00596AB3">
        <w:rPr>
          <w:rFonts w:cstheme="minorHAnsi"/>
          <w:sz w:val="24"/>
          <w:szCs w:val="24"/>
        </w:rPr>
        <w:t>?</w:t>
      </w:r>
    </w:p>
    <w:p w14:paraId="37497662" w14:textId="0D9E2E3A" w:rsidR="000E0EEB" w:rsidRDefault="006667B7" w:rsidP="0038603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be responsive to the needs of different stakeholders (commercial and academic</w:t>
      </w:r>
      <w:r w:rsidR="009C3C90">
        <w:rPr>
          <w:rFonts w:cstheme="minorHAnsi"/>
          <w:sz w:val="24"/>
          <w:szCs w:val="24"/>
        </w:rPr>
        <w:t xml:space="preserve"> and other</w:t>
      </w:r>
      <w:r>
        <w:rPr>
          <w:rFonts w:cstheme="minorHAnsi"/>
          <w:sz w:val="24"/>
          <w:szCs w:val="24"/>
        </w:rPr>
        <w:t>)</w:t>
      </w:r>
      <w:r w:rsidR="00596AB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14:paraId="782359C9" w14:textId="77777777" w:rsidR="00386037" w:rsidRPr="00416843" w:rsidRDefault="005A184A" w:rsidP="00CF4FBA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416843">
        <w:rPr>
          <w:rFonts w:cstheme="minorHAnsi"/>
          <w:b/>
          <w:bCs/>
          <w:sz w:val="24"/>
          <w:szCs w:val="24"/>
        </w:rPr>
        <w:t xml:space="preserve">Operationalizing a federated sample sharing system where ownership is maintained and sustained </w:t>
      </w:r>
    </w:p>
    <w:p w14:paraId="25E789EE" w14:textId="77777777" w:rsidR="00386037" w:rsidRDefault="00386037" w:rsidP="0038603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we identify the benefits and advantages for sample providers? For users?</w:t>
      </w:r>
    </w:p>
    <w:p w14:paraId="580B4D40" w14:textId="6715AB5B" w:rsidR="00386037" w:rsidRDefault="00386037" w:rsidP="0038603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some successful models of </w:t>
      </w:r>
      <w:r w:rsidR="006667B7" w:rsidRPr="00416843">
        <w:rPr>
          <w:rFonts w:cstheme="minorHAnsi"/>
          <w:b/>
          <w:bCs/>
          <w:sz w:val="24"/>
          <w:szCs w:val="24"/>
        </w:rPr>
        <w:t>equitable</w:t>
      </w:r>
      <w:r w:rsidR="006667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sharing</w:t>
      </w:r>
      <w:r w:rsidR="006667B7">
        <w:rPr>
          <w:rFonts w:cstheme="minorHAnsi"/>
          <w:sz w:val="24"/>
          <w:szCs w:val="24"/>
        </w:rPr>
        <w:t xml:space="preserve"> and </w:t>
      </w:r>
      <w:r w:rsidR="006667B7" w:rsidRPr="00481DF9">
        <w:rPr>
          <w:rFonts w:cstheme="minorHAnsi"/>
          <w:sz w:val="24"/>
          <w:szCs w:val="24"/>
        </w:rPr>
        <w:t>governance</w:t>
      </w:r>
      <w:r w:rsidRPr="00481DF9">
        <w:rPr>
          <w:rFonts w:cstheme="minorHAnsi"/>
          <w:sz w:val="24"/>
          <w:szCs w:val="24"/>
        </w:rPr>
        <w:t xml:space="preserve"> </w:t>
      </w:r>
      <w:r w:rsidR="006667B7" w:rsidRPr="00481DF9">
        <w:rPr>
          <w:rFonts w:cstheme="minorHAnsi"/>
          <w:sz w:val="24"/>
          <w:szCs w:val="24"/>
        </w:rPr>
        <w:t>structure</w:t>
      </w:r>
      <w:r w:rsidR="006667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retaining </w:t>
      </w:r>
      <w:r w:rsidR="00641DCD">
        <w:rPr>
          <w:rFonts w:cstheme="minorHAnsi"/>
          <w:sz w:val="24"/>
          <w:szCs w:val="24"/>
        </w:rPr>
        <w:t xml:space="preserve">local </w:t>
      </w:r>
      <w:r>
        <w:rPr>
          <w:rFonts w:cstheme="minorHAnsi"/>
          <w:sz w:val="24"/>
          <w:szCs w:val="24"/>
        </w:rPr>
        <w:t>ownership?</w:t>
      </w:r>
    </w:p>
    <w:p w14:paraId="70CA8364" w14:textId="42163E9F" w:rsidR="00386037" w:rsidRDefault="00E63F58" w:rsidP="0038603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should be some of the key features of </w:t>
      </w:r>
      <w:r w:rsidR="00386037" w:rsidRPr="00AC320C">
        <w:rPr>
          <w:rFonts w:cstheme="minorHAnsi"/>
          <w:sz w:val="24"/>
          <w:szCs w:val="24"/>
        </w:rPr>
        <w:t>VB system to ensure sustainability</w:t>
      </w:r>
      <w:r w:rsidR="00416843">
        <w:rPr>
          <w:rFonts w:cstheme="minorHAnsi"/>
          <w:sz w:val="24"/>
          <w:szCs w:val="24"/>
        </w:rPr>
        <w:t>?</w:t>
      </w:r>
    </w:p>
    <w:p w14:paraId="6A6D3998" w14:textId="6FD0F6AC" w:rsidR="00850749" w:rsidRDefault="00850749" w:rsidP="00850749">
      <w:pPr>
        <w:rPr>
          <w:rFonts w:cstheme="minorHAnsi"/>
          <w:sz w:val="24"/>
          <w:szCs w:val="24"/>
        </w:rPr>
      </w:pPr>
    </w:p>
    <w:p w14:paraId="03BF128A" w14:textId="7FF028CE" w:rsidR="00850749" w:rsidRPr="00850749" w:rsidRDefault="00850749" w:rsidP="00850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you to email us at </w:t>
      </w:r>
      <w:hyperlink r:id="rId6" w:history="1">
        <w:r w:rsidRPr="00982635">
          <w:rPr>
            <w:rStyle w:val="Hyperlink"/>
            <w:b/>
            <w:bCs/>
            <w:sz w:val="32"/>
            <w:szCs w:val="32"/>
          </w:rPr>
          <w:t>vbiorepository@ucdenver.edu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so that we can include you in our contact list and join our effort.</w:t>
      </w:r>
    </w:p>
    <w:p w14:paraId="6C8733F0" w14:textId="5436FA38" w:rsidR="00850749" w:rsidRPr="00850749" w:rsidRDefault="00850749" w:rsidP="00850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40584" w14:textId="19E08283" w:rsidR="00850749" w:rsidRPr="00982635" w:rsidRDefault="00850749" w:rsidP="00982635">
      <w:pPr>
        <w:rPr>
          <w:rFonts w:cstheme="minorHAnsi"/>
          <w:sz w:val="24"/>
          <w:szCs w:val="24"/>
        </w:rPr>
      </w:pPr>
    </w:p>
    <w:p w14:paraId="0B2ECB99" w14:textId="11D9C3AC" w:rsidR="00481DF9" w:rsidRPr="00416843" w:rsidRDefault="00481DF9" w:rsidP="00416843">
      <w:pPr>
        <w:pStyle w:val="ListParagraph"/>
        <w:ind w:left="1440"/>
        <w:rPr>
          <w:color w:val="000000" w:themeColor="text1"/>
        </w:rPr>
      </w:pPr>
    </w:p>
    <w:sectPr w:rsidR="00481DF9" w:rsidRPr="0041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F68"/>
    <w:multiLevelType w:val="hybridMultilevel"/>
    <w:tmpl w:val="6B7AA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8780D"/>
    <w:multiLevelType w:val="hybridMultilevel"/>
    <w:tmpl w:val="A38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CC9"/>
    <w:multiLevelType w:val="hybridMultilevel"/>
    <w:tmpl w:val="A9E4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6EE"/>
    <w:multiLevelType w:val="hybridMultilevel"/>
    <w:tmpl w:val="CBC61484"/>
    <w:lvl w:ilvl="0" w:tplc="82F207D0">
      <w:start w:val="1"/>
      <w:numFmt w:val="bullet"/>
      <w:lvlText w:val="₋"/>
      <w:lvlJc w:val="left"/>
      <w:pPr>
        <w:ind w:left="31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 w15:restartNumberingAfterBreak="0">
    <w:nsid w:val="19574A2F"/>
    <w:multiLevelType w:val="hybridMultilevel"/>
    <w:tmpl w:val="0D08557E"/>
    <w:lvl w:ilvl="0" w:tplc="9208E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279F1"/>
    <w:multiLevelType w:val="hybridMultilevel"/>
    <w:tmpl w:val="AFB06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767222"/>
    <w:multiLevelType w:val="hybridMultilevel"/>
    <w:tmpl w:val="9D58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14EC"/>
    <w:multiLevelType w:val="hybridMultilevel"/>
    <w:tmpl w:val="A55A10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8292C"/>
    <w:multiLevelType w:val="hybridMultilevel"/>
    <w:tmpl w:val="682497CA"/>
    <w:lvl w:ilvl="0" w:tplc="82F207D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A1361D86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2F13"/>
    <w:multiLevelType w:val="hybridMultilevel"/>
    <w:tmpl w:val="1214E826"/>
    <w:lvl w:ilvl="0" w:tplc="B4E0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33C"/>
    <w:multiLevelType w:val="hybridMultilevel"/>
    <w:tmpl w:val="55A8895E"/>
    <w:lvl w:ilvl="0" w:tplc="CECCE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15DA"/>
    <w:multiLevelType w:val="hybridMultilevel"/>
    <w:tmpl w:val="1EAC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476"/>
    <w:multiLevelType w:val="hybridMultilevel"/>
    <w:tmpl w:val="3D402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7E1255"/>
    <w:multiLevelType w:val="hybridMultilevel"/>
    <w:tmpl w:val="E9AE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0AF9"/>
    <w:multiLevelType w:val="hybridMultilevel"/>
    <w:tmpl w:val="39BC46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C3295B"/>
    <w:multiLevelType w:val="hybridMultilevel"/>
    <w:tmpl w:val="87B0D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36C"/>
    <w:multiLevelType w:val="hybridMultilevel"/>
    <w:tmpl w:val="FA8EB094"/>
    <w:lvl w:ilvl="0" w:tplc="A2C04C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771BC"/>
    <w:multiLevelType w:val="hybridMultilevel"/>
    <w:tmpl w:val="0B2C0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A8"/>
    <w:rsid w:val="000069D3"/>
    <w:rsid w:val="0001632F"/>
    <w:rsid w:val="00027CAC"/>
    <w:rsid w:val="000806C6"/>
    <w:rsid w:val="00093D79"/>
    <w:rsid w:val="000A2F6F"/>
    <w:rsid w:val="000A6165"/>
    <w:rsid w:val="000E0EEB"/>
    <w:rsid w:val="00194306"/>
    <w:rsid w:val="001943D8"/>
    <w:rsid w:val="001C571A"/>
    <w:rsid w:val="0026087A"/>
    <w:rsid w:val="002648DB"/>
    <w:rsid w:val="002A7FD7"/>
    <w:rsid w:val="002B0E44"/>
    <w:rsid w:val="003145C6"/>
    <w:rsid w:val="003174AB"/>
    <w:rsid w:val="00386037"/>
    <w:rsid w:val="003F6114"/>
    <w:rsid w:val="00416843"/>
    <w:rsid w:val="00445A82"/>
    <w:rsid w:val="00481DF9"/>
    <w:rsid w:val="00484D4B"/>
    <w:rsid w:val="0048531B"/>
    <w:rsid w:val="004D7A7A"/>
    <w:rsid w:val="004E2883"/>
    <w:rsid w:val="00565943"/>
    <w:rsid w:val="00567D94"/>
    <w:rsid w:val="00596AB3"/>
    <w:rsid w:val="005A184A"/>
    <w:rsid w:val="005E54EE"/>
    <w:rsid w:val="0064148A"/>
    <w:rsid w:val="00641DCD"/>
    <w:rsid w:val="006667B7"/>
    <w:rsid w:val="006948BE"/>
    <w:rsid w:val="006A1EFD"/>
    <w:rsid w:val="00725D31"/>
    <w:rsid w:val="007D2F51"/>
    <w:rsid w:val="007E0F73"/>
    <w:rsid w:val="007F08B7"/>
    <w:rsid w:val="00802CE3"/>
    <w:rsid w:val="00850749"/>
    <w:rsid w:val="00860AAE"/>
    <w:rsid w:val="00861D3D"/>
    <w:rsid w:val="00917BDC"/>
    <w:rsid w:val="00982635"/>
    <w:rsid w:val="009A049B"/>
    <w:rsid w:val="009C3C90"/>
    <w:rsid w:val="009D7D14"/>
    <w:rsid w:val="00A14BED"/>
    <w:rsid w:val="00A65049"/>
    <w:rsid w:val="00AA20F7"/>
    <w:rsid w:val="00AB0D19"/>
    <w:rsid w:val="00AC320C"/>
    <w:rsid w:val="00B25039"/>
    <w:rsid w:val="00B640A8"/>
    <w:rsid w:val="00B80426"/>
    <w:rsid w:val="00B866F8"/>
    <w:rsid w:val="00C42B8E"/>
    <w:rsid w:val="00C63BC1"/>
    <w:rsid w:val="00CA0D93"/>
    <w:rsid w:val="00CC3EF7"/>
    <w:rsid w:val="00CF4FBA"/>
    <w:rsid w:val="00DE3917"/>
    <w:rsid w:val="00E13EBA"/>
    <w:rsid w:val="00E27868"/>
    <w:rsid w:val="00E63F58"/>
    <w:rsid w:val="00E81AC2"/>
    <w:rsid w:val="00EE28BF"/>
    <w:rsid w:val="00F17562"/>
    <w:rsid w:val="00F97A54"/>
    <w:rsid w:val="00FA364F"/>
    <w:rsid w:val="00FC6117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F8A8"/>
  <w15:chartTrackingRefBased/>
  <w15:docId w15:val="{A1FFE228-9388-439E-BA79-AB40A228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C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84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iorepository@ucdenv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Giri</dc:creator>
  <cp:keywords/>
  <dc:description/>
  <cp:lastModifiedBy>Chu, May</cp:lastModifiedBy>
  <cp:revision>2</cp:revision>
  <cp:lastPrinted>2021-11-30T20:03:00Z</cp:lastPrinted>
  <dcterms:created xsi:type="dcterms:W3CDTF">2021-12-03T01:20:00Z</dcterms:created>
  <dcterms:modified xsi:type="dcterms:W3CDTF">2021-12-03T01:20:00Z</dcterms:modified>
</cp:coreProperties>
</file>