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4AC17" w14:textId="77777777" w:rsidR="0079677C" w:rsidRPr="00DC3CE3" w:rsidRDefault="0079677C" w:rsidP="00AC0EE9">
      <w:pPr>
        <w:jc w:val="both"/>
      </w:pPr>
      <w:r w:rsidRPr="00DE61ED">
        <w:rPr>
          <w:noProof/>
          <w:lang w:eastAsia="en-GB"/>
        </w:rPr>
        <w:drawing>
          <wp:inline distT="0" distB="0" distL="0" distR="0" wp14:anchorId="62E803FC" wp14:editId="79EDCD8F">
            <wp:extent cx="1174497" cy="3454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74497" cy="345440"/>
                    </a:xfrm>
                    <a:prstGeom prst="rect">
                      <a:avLst/>
                    </a:prstGeom>
                  </pic:spPr>
                </pic:pic>
              </a:graphicData>
            </a:graphic>
          </wp:inline>
        </w:drawing>
      </w:r>
      <w:r w:rsidRPr="00971945">
        <w:rPr>
          <w:noProof/>
          <w:sz w:val="48"/>
          <w:szCs w:val="48"/>
        </w:rPr>
        <mc:AlternateContent>
          <mc:Choice Requires="wps">
            <w:drawing>
              <wp:anchor distT="0" distB="0" distL="114300" distR="114300" simplePos="0" relativeHeight="251659264" behindDoc="0" locked="0" layoutInCell="1" allowOverlap="1" wp14:anchorId="32F3E02F" wp14:editId="50EC4104">
                <wp:simplePos x="0" y="0"/>
                <wp:positionH relativeFrom="margin">
                  <wp:align>left</wp:align>
                </wp:positionH>
                <wp:positionV relativeFrom="paragraph">
                  <wp:posOffset>544195</wp:posOffset>
                </wp:positionV>
                <wp:extent cx="5654040" cy="43815"/>
                <wp:effectExtent l="0" t="0" r="22860" b="32385"/>
                <wp:wrapTopAndBottom/>
                <wp:docPr id="4" name="Straight Connector 4"/>
                <wp:cNvGraphicFramePr/>
                <a:graphic xmlns:a="http://schemas.openxmlformats.org/drawingml/2006/main">
                  <a:graphicData uri="http://schemas.microsoft.com/office/word/2010/wordprocessingShape">
                    <wps:wsp>
                      <wps:cNvCnPr/>
                      <wps:spPr>
                        <a:xfrm>
                          <a:off x="0" y="0"/>
                          <a:ext cx="5654650" cy="4389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Straight Connector 4"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00]" strokeweight="1pt" from="0,42.85pt" to="445.2pt,46.3pt" w14:anchorId="16348C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">
                <v:stroke joinstyle="miter"/>
                <w10:wrap type="topAndBottom" anchorx="margin"/>
              </v:line>
            </w:pict>
          </mc:Fallback>
        </mc:AlternateContent>
      </w:r>
    </w:p>
    <w:p w14:paraId="43C96E02" w14:textId="16FD9A4D" w:rsidR="0079677C" w:rsidRPr="006E5FBB" w:rsidRDefault="006E5FBB" w:rsidP="00AC0EE9">
      <w:pPr>
        <w:rPr>
          <w:rFonts w:ascii="Euclid CEPI Medium" w:hAnsi="Euclid CEPI Medium"/>
          <w:kern w:val="20"/>
          <w:sz w:val="10"/>
          <w:szCs w:val="10"/>
        </w:rPr>
      </w:pPr>
      <w:r w:rsidRPr="006E5FBB">
        <w:rPr>
          <w:rFonts w:ascii="Euclid CEPI Medium" w:hAnsi="Euclid CEPI Medium"/>
          <w:kern w:val="20"/>
          <w:sz w:val="44"/>
          <w:szCs w:val="44"/>
        </w:rPr>
        <w:t xml:space="preserve">Standardization of Immune Response Assays to COVID-19 Vaccines </w:t>
      </w:r>
      <w:r w:rsidRPr="006E5FBB">
        <w:rPr>
          <w:rFonts w:ascii="Euclid CEPI Medium" w:hAnsi="Euclid CEPI Medium"/>
          <w:kern w:val="20"/>
          <w:sz w:val="44"/>
          <w:szCs w:val="44"/>
        </w:rPr>
        <w:br/>
      </w:r>
      <w:r w:rsidRPr="006E5FBB">
        <w:rPr>
          <w:rFonts w:ascii="Euclid CEPI Medium" w:hAnsi="Euclid CEPI Medium"/>
          <w:kern w:val="20"/>
          <w:sz w:val="34"/>
          <w:szCs w:val="24"/>
        </w:rPr>
        <w:t>A Year’s Experience Transferring Assays to a Global Network of Labs</w:t>
      </w:r>
    </w:p>
    <w:p w14:paraId="769BF469" w14:textId="332AB58C" w:rsidR="00122DE8" w:rsidRPr="00B23463" w:rsidRDefault="00122DE8" w:rsidP="00AC0EE9">
      <w:pPr>
        <w:pStyle w:val="Heading1"/>
        <w:jc w:val="both"/>
        <w:rPr>
          <w:rFonts w:asciiTheme="minorHAnsi" w:eastAsiaTheme="minorHAnsi" w:hAnsiTheme="minorHAnsi" w:cstheme="minorBidi"/>
          <w:color w:val="auto"/>
          <w:sz w:val="22"/>
          <w:szCs w:val="22"/>
        </w:rPr>
      </w:pPr>
      <w:r w:rsidRPr="00B23463">
        <w:rPr>
          <w:rFonts w:asciiTheme="minorHAnsi" w:eastAsiaTheme="minorHAnsi" w:hAnsiTheme="minorHAnsi" w:cstheme="minorBidi"/>
          <w:color w:val="auto"/>
          <w:sz w:val="22"/>
          <w:szCs w:val="22"/>
        </w:rPr>
        <w:t xml:space="preserve">The webinar was co-organized by CEPI and </w:t>
      </w:r>
      <w:r w:rsidR="00D35E9C" w:rsidRPr="00B23463">
        <w:rPr>
          <w:rFonts w:asciiTheme="minorHAnsi" w:eastAsiaTheme="minorHAnsi" w:hAnsiTheme="minorHAnsi" w:cstheme="minorBidi"/>
          <w:color w:val="auto"/>
          <w:sz w:val="22"/>
          <w:szCs w:val="22"/>
        </w:rPr>
        <w:t>BEBPA</w:t>
      </w:r>
      <w:r w:rsidR="00053FE6" w:rsidRPr="00B23463">
        <w:rPr>
          <w:rFonts w:asciiTheme="minorHAnsi" w:eastAsiaTheme="minorHAnsi" w:hAnsiTheme="minorHAnsi" w:cstheme="minorBidi"/>
          <w:color w:val="auto"/>
          <w:sz w:val="22"/>
          <w:szCs w:val="22"/>
        </w:rPr>
        <w:t xml:space="preserve"> and held on the 31st August 2021</w:t>
      </w:r>
      <w:r w:rsidR="00D14E70" w:rsidRPr="00B23463">
        <w:rPr>
          <w:rFonts w:asciiTheme="minorHAnsi" w:eastAsiaTheme="minorHAnsi" w:hAnsiTheme="minorHAnsi" w:cstheme="minorBidi"/>
          <w:color w:val="auto"/>
          <w:sz w:val="22"/>
          <w:szCs w:val="22"/>
        </w:rPr>
        <w:t>. It</w:t>
      </w:r>
      <w:r w:rsidR="00D35E9C" w:rsidRPr="00B23463">
        <w:rPr>
          <w:rFonts w:asciiTheme="minorHAnsi" w:eastAsiaTheme="minorHAnsi" w:hAnsiTheme="minorHAnsi" w:cstheme="minorBidi"/>
          <w:color w:val="auto"/>
          <w:sz w:val="22"/>
          <w:szCs w:val="22"/>
        </w:rPr>
        <w:t xml:space="preserve"> </w:t>
      </w:r>
      <w:r w:rsidRPr="00B23463">
        <w:rPr>
          <w:rFonts w:asciiTheme="minorHAnsi" w:eastAsiaTheme="minorHAnsi" w:hAnsiTheme="minorHAnsi" w:cstheme="minorBidi"/>
          <w:color w:val="auto"/>
          <w:sz w:val="22"/>
          <w:szCs w:val="22"/>
        </w:rPr>
        <w:t>dived into the lessons learned during tech transfer of immunological assays to a global network of laboratories to standardize the evaluation of the immune response elicited by different SARS-CoV</w:t>
      </w:r>
      <w:r w:rsidR="005B49CB" w:rsidRPr="00B23463">
        <w:rPr>
          <w:rFonts w:asciiTheme="minorHAnsi" w:eastAsiaTheme="minorHAnsi" w:hAnsiTheme="minorHAnsi" w:cstheme="minorBidi"/>
          <w:color w:val="auto"/>
          <w:sz w:val="22"/>
          <w:szCs w:val="22"/>
        </w:rPr>
        <w:t>-</w:t>
      </w:r>
      <w:r w:rsidRPr="00B23463">
        <w:rPr>
          <w:rFonts w:asciiTheme="minorHAnsi" w:eastAsiaTheme="minorHAnsi" w:hAnsiTheme="minorHAnsi" w:cstheme="minorBidi"/>
          <w:color w:val="auto"/>
          <w:sz w:val="22"/>
          <w:szCs w:val="22"/>
        </w:rPr>
        <w:t xml:space="preserve">2 vaccines. </w:t>
      </w:r>
    </w:p>
    <w:p w14:paraId="5E0914D6" w14:textId="23D1C38F" w:rsidR="00725109" w:rsidRPr="00725109" w:rsidRDefault="00725109" w:rsidP="00AC0EE9">
      <w:pPr>
        <w:pStyle w:val="NoSpacing"/>
        <w:jc w:val="both"/>
      </w:pPr>
      <w:r w:rsidRPr="00725109">
        <w:t xml:space="preserve"> </w:t>
      </w:r>
    </w:p>
    <w:p w14:paraId="19345E7F" w14:textId="77777777" w:rsidR="00FD380D" w:rsidRPr="001E4E1C" w:rsidRDefault="00FD380D" w:rsidP="00AC0EE9">
      <w:pPr>
        <w:pStyle w:val="Heading1"/>
        <w:jc w:val="both"/>
        <w:rPr>
          <w:sz w:val="28"/>
          <w:szCs w:val="28"/>
        </w:rPr>
      </w:pPr>
      <w:r w:rsidRPr="001E4E1C">
        <w:t>Session 1: A Year in Review</w:t>
      </w:r>
    </w:p>
    <w:p w14:paraId="0919EE47" w14:textId="77777777" w:rsidR="00FD380D" w:rsidRDefault="00FD380D" w:rsidP="00AC0EE9">
      <w:pPr>
        <w:widowControl w:val="0"/>
        <w:spacing w:after="0" w:line="225" w:lineRule="auto"/>
        <w:jc w:val="both"/>
        <w:rPr>
          <w:sz w:val="6"/>
          <w:szCs w:val="6"/>
        </w:rPr>
      </w:pPr>
      <w:r>
        <w:rPr>
          <w:sz w:val="6"/>
          <w:szCs w:val="6"/>
        </w:rPr>
        <w:t> </w:t>
      </w:r>
    </w:p>
    <w:p w14:paraId="42D6DFDA" w14:textId="6AA52207" w:rsidR="00FD380D" w:rsidRDefault="00FD380D" w:rsidP="00AC0EE9">
      <w:pPr>
        <w:widowControl w:val="0"/>
        <w:spacing w:after="0" w:line="180" w:lineRule="auto"/>
        <w:ind w:left="531" w:hanging="531"/>
        <w:jc w:val="both"/>
        <w:rPr>
          <w:b/>
          <w:bCs/>
          <w:sz w:val="28"/>
          <w:szCs w:val="28"/>
        </w:rPr>
      </w:pPr>
      <w:r>
        <w:rPr>
          <w:b/>
          <w:bCs/>
          <w:sz w:val="28"/>
          <w:szCs w:val="28"/>
        </w:rPr>
        <w:t>Intro and Webinar Logistics</w:t>
      </w:r>
    </w:p>
    <w:p w14:paraId="485681AA" w14:textId="77777777" w:rsidR="00FD380D" w:rsidRDefault="00FD380D" w:rsidP="00AC0EE9">
      <w:pPr>
        <w:widowControl w:val="0"/>
        <w:tabs>
          <w:tab w:val="left" w:pos="220"/>
        </w:tabs>
        <w:spacing w:after="0" w:line="180" w:lineRule="auto"/>
        <w:ind w:left="898" w:hanging="898"/>
        <w:jc w:val="both"/>
        <w:rPr>
          <w:i/>
          <w:iCs/>
          <w:sz w:val="24"/>
          <w:szCs w:val="24"/>
        </w:rPr>
      </w:pPr>
      <w:r>
        <w:rPr>
          <w:b/>
          <w:bCs/>
          <w:sz w:val="24"/>
          <w:szCs w:val="24"/>
        </w:rPr>
        <w:tab/>
      </w:r>
      <w:r>
        <w:rPr>
          <w:i/>
          <w:iCs/>
          <w:sz w:val="24"/>
          <w:szCs w:val="24"/>
        </w:rPr>
        <w:t>Laureen Little, BEBPA, President</w:t>
      </w:r>
    </w:p>
    <w:p w14:paraId="39B93DEF" w14:textId="77777777" w:rsidR="00FD380D" w:rsidRDefault="00FD380D" w:rsidP="00AC0EE9">
      <w:pPr>
        <w:widowControl w:val="0"/>
        <w:spacing w:after="0" w:line="225" w:lineRule="auto"/>
        <w:jc w:val="both"/>
        <w:rPr>
          <w:sz w:val="6"/>
          <w:szCs w:val="6"/>
        </w:rPr>
      </w:pPr>
      <w:r>
        <w:rPr>
          <w:sz w:val="6"/>
          <w:szCs w:val="6"/>
        </w:rPr>
        <w:t> </w:t>
      </w:r>
    </w:p>
    <w:p w14:paraId="1289D83D" w14:textId="5C176309" w:rsidR="00FD380D" w:rsidRPr="00FD380D" w:rsidRDefault="000B0B09" w:rsidP="00AC0EE9">
      <w:pPr>
        <w:widowControl w:val="0"/>
        <w:tabs>
          <w:tab w:val="left" w:pos="220"/>
        </w:tabs>
        <w:spacing w:before="20" w:after="0" w:line="180" w:lineRule="auto"/>
        <w:ind w:left="805" w:hanging="805"/>
        <w:jc w:val="both"/>
        <w:rPr>
          <w:sz w:val="28"/>
          <w:szCs w:val="28"/>
        </w:rPr>
      </w:pPr>
      <w:hyperlink r:id="rId11" w:anchor="solzin" w:history="1">
        <w:r w:rsidR="00FD380D" w:rsidRPr="00FD380D">
          <w:rPr>
            <w:rStyle w:val="Hyperlink"/>
            <w:b/>
            <w:bCs/>
            <w:color w:val="000000"/>
            <w:sz w:val="28"/>
            <w:szCs w:val="28"/>
            <w:u w:val="none"/>
          </w:rPr>
          <w:t xml:space="preserve">Chair Introduction to the Webinar </w:t>
        </w:r>
      </w:hyperlink>
    </w:p>
    <w:p w14:paraId="16884A4B" w14:textId="36F6D9C1" w:rsidR="00FD380D" w:rsidRDefault="00FD380D" w:rsidP="00AC0EE9">
      <w:pPr>
        <w:widowControl w:val="0"/>
        <w:tabs>
          <w:tab w:val="left" w:pos="220"/>
        </w:tabs>
        <w:spacing w:after="0" w:line="180" w:lineRule="auto"/>
        <w:ind w:left="531" w:hanging="531"/>
        <w:jc w:val="both"/>
        <w:rPr>
          <w:sz w:val="24"/>
          <w:szCs w:val="24"/>
        </w:rPr>
      </w:pPr>
      <w:r>
        <w:rPr>
          <w:sz w:val="24"/>
          <w:szCs w:val="24"/>
        </w:rPr>
        <w:tab/>
      </w:r>
      <w:r>
        <w:rPr>
          <w:i/>
          <w:iCs/>
          <w:sz w:val="24"/>
          <w:szCs w:val="24"/>
        </w:rPr>
        <w:t xml:space="preserve">Ivana </w:t>
      </w:r>
      <w:proofErr w:type="spellStart"/>
      <w:r>
        <w:rPr>
          <w:i/>
          <w:iCs/>
          <w:sz w:val="24"/>
          <w:szCs w:val="24"/>
        </w:rPr>
        <w:t>Knezevic</w:t>
      </w:r>
      <w:proofErr w:type="spellEnd"/>
      <w:r>
        <w:rPr>
          <w:i/>
          <w:iCs/>
          <w:sz w:val="24"/>
          <w:szCs w:val="24"/>
        </w:rPr>
        <w:t>, WHO, Team Leader, Norms and Standards for Biologicals, Quality, Safety and Standards; COVAX, Co-Lead of the Enabling Sciences SWAT Team</w:t>
      </w:r>
    </w:p>
    <w:p w14:paraId="0596D400" w14:textId="77777777" w:rsidR="00FD380D" w:rsidRDefault="00FD380D" w:rsidP="00AC0EE9">
      <w:pPr>
        <w:widowControl w:val="0"/>
        <w:spacing w:after="0" w:line="225" w:lineRule="auto"/>
        <w:jc w:val="both"/>
        <w:rPr>
          <w:sz w:val="6"/>
          <w:szCs w:val="6"/>
        </w:rPr>
      </w:pPr>
      <w:r>
        <w:rPr>
          <w:sz w:val="6"/>
          <w:szCs w:val="6"/>
        </w:rPr>
        <w:t> </w:t>
      </w:r>
    </w:p>
    <w:p w14:paraId="064FB2AF" w14:textId="083F356D" w:rsidR="00FD380D" w:rsidRDefault="00FD380D" w:rsidP="00AC0EE9">
      <w:pPr>
        <w:widowControl w:val="0"/>
        <w:tabs>
          <w:tab w:val="left" w:pos="220"/>
        </w:tabs>
        <w:spacing w:after="0" w:line="180" w:lineRule="auto"/>
        <w:ind w:left="531" w:hanging="531"/>
        <w:jc w:val="both"/>
        <w:rPr>
          <w:b/>
          <w:bCs/>
          <w:sz w:val="28"/>
          <w:szCs w:val="28"/>
        </w:rPr>
      </w:pPr>
      <w:r>
        <w:rPr>
          <w:b/>
          <w:bCs/>
          <w:sz w:val="28"/>
          <w:szCs w:val="28"/>
        </w:rPr>
        <w:t>Overview of CEPI &amp; COVAX</w:t>
      </w:r>
    </w:p>
    <w:p w14:paraId="5B8D1401" w14:textId="7D1E663E" w:rsidR="00FD380D" w:rsidRDefault="00FD380D" w:rsidP="00AC0EE9">
      <w:pPr>
        <w:widowControl w:val="0"/>
        <w:tabs>
          <w:tab w:val="left" w:pos="-31680"/>
          <w:tab w:val="left" w:pos="220"/>
          <w:tab w:val="left" w:pos="307"/>
        </w:tabs>
        <w:spacing w:after="0" w:line="180" w:lineRule="auto"/>
        <w:ind w:left="531" w:hanging="531"/>
        <w:jc w:val="both"/>
        <w:rPr>
          <w:i/>
          <w:iCs/>
          <w:sz w:val="24"/>
          <w:szCs w:val="24"/>
        </w:rPr>
      </w:pPr>
      <w:r>
        <w:rPr>
          <w:b/>
          <w:bCs/>
          <w:sz w:val="24"/>
          <w:szCs w:val="24"/>
        </w:rPr>
        <w:tab/>
      </w:r>
      <w:r>
        <w:rPr>
          <w:b/>
          <w:bCs/>
          <w:sz w:val="24"/>
          <w:szCs w:val="24"/>
        </w:rPr>
        <w:tab/>
      </w:r>
      <w:r>
        <w:rPr>
          <w:i/>
          <w:iCs/>
          <w:sz w:val="24"/>
          <w:szCs w:val="24"/>
        </w:rPr>
        <w:t xml:space="preserve">Paul Kristiansen, CEPI, Head of Biological Standards &amp; Assays, Preclinical Immunology; COVAX, Co-Lead of the Enabling </w:t>
      </w:r>
      <w:r w:rsidR="0029593D">
        <w:rPr>
          <w:i/>
          <w:iCs/>
          <w:sz w:val="24"/>
          <w:szCs w:val="24"/>
        </w:rPr>
        <w:t>S</w:t>
      </w:r>
      <w:r>
        <w:rPr>
          <w:i/>
          <w:iCs/>
          <w:sz w:val="24"/>
          <w:szCs w:val="24"/>
        </w:rPr>
        <w:t>ciences SWAT Team</w:t>
      </w:r>
    </w:p>
    <w:p w14:paraId="4E4557AF" w14:textId="77777777" w:rsidR="00FD380D" w:rsidRDefault="00FD380D" w:rsidP="00AC0EE9">
      <w:pPr>
        <w:widowControl w:val="0"/>
        <w:spacing w:after="0" w:line="225" w:lineRule="auto"/>
        <w:jc w:val="both"/>
        <w:rPr>
          <w:sz w:val="6"/>
          <w:szCs w:val="6"/>
        </w:rPr>
      </w:pPr>
      <w:r>
        <w:rPr>
          <w:sz w:val="6"/>
          <w:szCs w:val="6"/>
        </w:rPr>
        <w:t> </w:t>
      </w:r>
    </w:p>
    <w:p w14:paraId="5541AEF0" w14:textId="7BF15250" w:rsidR="00FD380D" w:rsidRDefault="00FD380D" w:rsidP="00AC0EE9">
      <w:pPr>
        <w:widowControl w:val="0"/>
        <w:tabs>
          <w:tab w:val="left" w:pos="217"/>
        </w:tabs>
        <w:spacing w:before="20" w:after="0" w:line="180" w:lineRule="auto"/>
        <w:ind w:left="531" w:hanging="531"/>
        <w:jc w:val="both"/>
        <w:rPr>
          <w:sz w:val="28"/>
          <w:szCs w:val="28"/>
        </w:rPr>
      </w:pPr>
      <w:r>
        <w:rPr>
          <w:b/>
          <w:bCs/>
          <w:sz w:val="28"/>
          <w:szCs w:val="28"/>
        </w:rPr>
        <w:t xml:space="preserve">CEPI Centralized Laboratory Network: Key Features </w:t>
      </w:r>
    </w:p>
    <w:p w14:paraId="7B2DA555" w14:textId="5B7346A6" w:rsidR="00FD380D" w:rsidRDefault="00FD380D" w:rsidP="00AC0EE9">
      <w:pPr>
        <w:widowControl w:val="0"/>
        <w:tabs>
          <w:tab w:val="left" w:pos="215"/>
        </w:tabs>
        <w:spacing w:after="0" w:line="180" w:lineRule="auto"/>
        <w:ind w:left="531" w:hanging="531"/>
        <w:jc w:val="both"/>
        <w:rPr>
          <w:i/>
          <w:iCs/>
          <w:sz w:val="24"/>
          <w:szCs w:val="24"/>
        </w:rPr>
      </w:pPr>
      <w:r>
        <w:rPr>
          <w:sz w:val="24"/>
          <w:szCs w:val="24"/>
        </w:rPr>
        <w:tab/>
      </w:r>
      <w:r>
        <w:rPr>
          <w:sz w:val="24"/>
          <w:szCs w:val="24"/>
        </w:rPr>
        <w:tab/>
      </w:r>
      <w:r>
        <w:rPr>
          <w:i/>
          <w:iCs/>
          <w:sz w:val="24"/>
          <w:szCs w:val="24"/>
        </w:rPr>
        <w:t>Valentina Bernasconi, CEPI, Scientist, Project Leader of Centralized Laboratory Network</w:t>
      </w:r>
    </w:p>
    <w:p w14:paraId="212CA518" w14:textId="77777777" w:rsidR="00FD380D" w:rsidRDefault="00FD380D" w:rsidP="00AC0EE9">
      <w:pPr>
        <w:widowControl w:val="0"/>
        <w:spacing w:after="0" w:line="225" w:lineRule="auto"/>
        <w:jc w:val="both"/>
        <w:rPr>
          <w:sz w:val="6"/>
          <w:szCs w:val="6"/>
        </w:rPr>
      </w:pPr>
      <w:r>
        <w:rPr>
          <w:sz w:val="6"/>
          <w:szCs w:val="6"/>
        </w:rPr>
        <w:t> </w:t>
      </w:r>
    </w:p>
    <w:p w14:paraId="48C63CE5" w14:textId="281D0DD8" w:rsidR="00FD380D" w:rsidRDefault="00FD380D" w:rsidP="00AC0EE9">
      <w:pPr>
        <w:widowControl w:val="0"/>
        <w:tabs>
          <w:tab w:val="left" w:pos="215"/>
        </w:tabs>
        <w:spacing w:after="0" w:line="180" w:lineRule="auto"/>
        <w:ind w:left="531" w:hanging="531"/>
        <w:jc w:val="both"/>
        <w:rPr>
          <w:b/>
          <w:bCs/>
          <w:sz w:val="28"/>
          <w:szCs w:val="28"/>
        </w:rPr>
      </w:pPr>
      <w:r>
        <w:rPr>
          <w:b/>
          <w:bCs/>
          <w:sz w:val="28"/>
          <w:szCs w:val="28"/>
        </w:rPr>
        <w:t xml:space="preserve">Lessons Learned from One Year of Transferring Assays to a Global Network of Laboratories </w:t>
      </w:r>
    </w:p>
    <w:p w14:paraId="3DDCDB92" w14:textId="6E916DCD" w:rsidR="00FD380D" w:rsidRDefault="00FD380D" w:rsidP="00AC0EE9">
      <w:pPr>
        <w:widowControl w:val="0"/>
        <w:tabs>
          <w:tab w:val="left" w:pos="215"/>
        </w:tabs>
        <w:spacing w:after="0" w:line="180" w:lineRule="auto"/>
        <w:ind w:left="531" w:hanging="531"/>
        <w:jc w:val="both"/>
        <w:rPr>
          <w:i/>
          <w:iCs/>
          <w:sz w:val="24"/>
          <w:szCs w:val="24"/>
        </w:rPr>
      </w:pPr>
      <w:r>
        <w:rPr>
          <w:b/>
          <w:bCs/>
          <w:sz w:val="24"/>
          <w:szCs w:val="24"/>
        </w:rPr>
        <w:tab/>
      </w:r>
      <w:r>
        <w:rPr>
          <w:b/>
          <w:bCs/>
          <w:sz w:val="24"/>
          <w:szCs w:val="24"/>
        </w:rPr>
        <w:tab/>
      </w:r>
      <w:r>
        <w:rPr>
          <w:i/>
          <w:iCs/>
          <w:sz w:val="24"/>
          <w:szCs w:val="24"/>
        </w:rPr>
        <w:t>Arun Kumar, CEPI, Scientist, Co-lead of Centralized Laboratory Network</w:t>
      </w:r>
    </w:p>
    <w:p w14:paraId="5CE03CD7" w14:textId="77777777" w:rsidR="00FD380D" w:rsidRDefault="00FD380D" w:rsidP="00AC0EE9">
      <w:pPr>
        <w:widowControl w:val="0"/>
        <w:spacing w:after="0" w:line="225" w:lineRule="auto"/>
        <w:jc w:val="both"/>
        <w:rPr>
          <w:sz w:val="6"/>
          <w:szCs w:val="6"/>
        </w:rPr>
      </w:pPr>
      <w:r>
        <w:rPr>
          <w:sz w:val="6"/>
          <w:szCs w:val="6"/>
        </w:rPr>
        <w:t> </w:t>
      </w:r>
    </w:p>
    <w:p w14:paraId="687CB28E" w14:textId="77777777" w:rsidR="00FD380D" w:rsidRDefault="00FD380D" w:rsidP="00AC0EE9">
      <w:pPr>
        <w:widowControl w:val="0"/>
        <w:spacing w:after="0" w:line="225" w:lineRule="auto"/>
        <w:jc w:val="both"/>
        <w:rPr>
          <w:sz w:val="6"/>
          <w:szCs w:val="6"/>
        </w:rPr>
      </w:pPr>
      <w:r>
        <w:rPr>
          <w:sz w:val="6"/>
          <w:szCs w:val="6"/>
        </w:rPr>
        <w:t> </w:t>
      </w:r>
    </w:p>
    <w:p w14:paraId="12DAF1B7" w14:textId="4F663CC4" w:rsidR="00FD380D" w:rsidRDefault="00FD380D" w:rsidP="00AC0EE9">
      <w:pPr>
        <w:widowControl w:val="0"/>
        <w:tabs>
          <w:tab w:val="left" w:pos="215"/>
        </w:tabs>
        <w:spacing w:after="0" w:line="180" w:lineRule="auto"/>
        <w:ind w:left="531" w:hanging="531"/>
        <w:jc w:val="both"/>
        <w:rPr>
          <w:b/>
          <w:bCs/>
          <w:sz w:val="28"/>
          <w:szCs w:val="28"/>
        </w:rPr>
      </w:pPr>
      <w:r>
        <w:rPr>
          <w:b/>
          <w:bCs/>
          <w:sz w:val="28"/>
          <w:szCs w:val="28"/>
        </w:rPr>
        <w:t>Expert Panel Discussion &amp; Audience Q&amp;A</w:t>
      </w:r>
    </w:p>
    <w:p w14:paraId="7477C42E" w14:textId="77777777" w:rsidR="00FD380D" w:rsidRDefault="00FD380D" w:rsidP="00AC0EE9">
      <w:pPr>
        <w:widowControl w:val="0"/>
        <w:tabs>
          <w:tab w:val="left" w:pos="215"/>
        </w:tabs>
        <w:spacing w:after="0" w:line="180" w:lineRule="auto"/>
        <w:ind w:left="531" w:hanging="531"/>
        <w:jc w:val="both"/>
        <w:rPr>
          <w:b/>
          <w:bCs/>
          <w:sz w:val="12"/>
          <w:szCs w:val="12"/>
        </w:rPr>
      </w:pPr>
      <w:r>
        <w:rPr>
          <w:b/>
          <w:bCs/>
          <w:sz w:val="12"/>
          <w:szCs w:val="12"/>
        </w:rPr>
        <w:t> </w:t>
      </w:r>
    </w:p>
    <w:p w14:paraId="31AE1C96" w14:textId="77777777" w:rsidR="00FD380D" w:rsidRPr="001E4E1C" w:rsidRDefault="00FD380D" w:rsidP="00AC0EE9">
      <w:pPr>
        <w:pStyle w:val="Heading1"/>
        <w:jc w:val="both"/>
      </w:pPr>
      <w:r w:rsidRPr="001E4E1C">
        <w:t>Session 2: The Future - Routine Testing</w:t>
      </w:r>
    </w:p>
    <w:p w14:paraId="7F8B7457" w14:textId="77777777" w:rsidR="00FD380D" w:rsidRDefault="00FD380D" w:rsidP="00AC0EE9">
      <w:pPr>
        <w:widowControl w:val="0"/>
        <w:spacing w:after="0" w:line="225" w:lineRule="auto"/>
        <w:jc w:val="both"/>
        <w:rPr>
          <w:color w:val="000000"/>
          <w:sz w:val="6"/>
          <w:szCs w:val="6"/>
        </w:rPr>
      </w:pPr>
      <w:r>
        <w:rPr>
          <w:sz w:val="6"/>
          <w:szCs w:val="6"/>
        </w:rPr>
        <w:t> </w:t>
      </w:r>
    </w:p>
    <w:p w14:paraId="7483E241" w14:textId="12B1F29C" w:rsidR="00FD380D" w:rsidRDefault="00FD380D" w:rsidP="00AC0EE9">
      <w:pPr>
        <w:widowControl w:val="0"/>
        <w:tabs>
          <w:tab w:val="left" w:pos="215"/>
        </w:tabs>
        <w:spacing w:after="0" w:line="180" w:lineRule="auto"/>
        <w:ind w:left="531" w:hanging="531"/>
        <w:jc w:val="both"/>
        <w:rPr>
          <w:b/>
          <w:bCs/>
          <w:sz w:val="28"/>
          <w:szCs w:val="28"/>
        </w:rPr>
      </w:pPr>
      <w:r>
        <w:rPr>
          <w:b/>
          <w:bCs/>
          <w:sz w:val="28"/>
          <w:szCs w:val="28"/>
        </w:rPr>
        <w:t>CEPI Centralized Laboratory Network: Planning for the Future</w:t>
      </w:r>
    </w:p>
    <w:p w14:paraId="47007FFC" w14:textId="135FDF86" w:rsidR="00FD380D" w:rsidRDefault="00FD380D" w:rsidP="00AC0EE9">
      <w:pPr>
        <w:widowControl w:val="0"/>
        <w:tabs>
          <w:tab w:val="left" w:pos="215"/>
        </w:tabs>
        <w:spacing w:after="0" w:line="180" w:lineRule="auto"/>
        <w:ind w:left="531" w:hanging="531"/>
        <w:jc w:val="both"/>
        <w:rPr>
          <w:b/>
          <w:bCs/>
          <w:sz w:val="24"/>
          <w:szCs w:val="24"/>
        </w:rPr>
      </w:pPr>
      <w:r>
        <w:rPr>
          <w:b/>
          <w:bCs/>
          <w:sz w:val="24"/>
          <w:szCs w:val="24"/>
        </w:rPr>
        <w:tab/>
      </w:r>
      <w:r>
        <w:rPr>
          <w:b/>
          <w:bCs/>
          <w:sz w:val="24"/>
          <w:szCs w:val="24"/>
        </w:rPr>
        <w:tab/>
      </w:r>
      <w:r>
        <w:rPr>
          <w:i/>
          <w:iCs/>
          <w:sz w:val="24"/>
          <w:szCs w:val="24"/>
        </w:rPr>
        <w:t>Valentina Bernasconi, CEPI, Scientist, Project Leader of Centralized Laboratory Network</w:t>
      </w:r>
    </w:p>
    <w:p w14:paraId="793ABED0" w14:textId="77777777" w:rsidR="00FD380D" w:rsidRDefault="00FD380D" w:rsidP="00AC0EE9">
      <w:pPr>
        <w:widowControl w:val="0"/>
        <w:spacing w:after="0" w:line="225" w:lineRule="auto"/>
        <w:jc w:val="both"/>
        <w:rPr>
          <w:sz w:val="6"/>
          <w:szCs w:val="6"/>
        </w:rPr>
      </w:pPr>
      <w:r>
        <w:rPr>
          <w:sz w:val="6"/>
          <w:szCs w:val="6"/>
        </w:rPr>
        <w:t> </w:t>
      </w:r>
    </w:p>
    <w:p w14:paraId="5DB7215B" w14:textId="6F3D033B" w:rsidR="00FD380D" w:rsidRDefault="00FD380D" w:rsidP="00AC0EE9">
      <w:pPr>
        <w:widowControl w:val="0"/>
        <w:tabs>
          <w:tab w:val="left" w:pos="215"/>
          <w:tab w:val="left" w:pos="311"/>
        </w:tabs>
        <w:spacing w:before="20" w:after="0" w:line="180" w:lineRule="auto"/>
        <w:ind w:left="531" w:hanging="531"/>
        <w:jc w:val="both"/>
        <w:rPr>
          <w:b/>
          <w:bCs/>
          <w:sz w:val="28"/>
          <w:szCs w:val="28"/>
        </w:rPr>
      </w:pPr>
      <w:r>
        <w:rPr>
          <w:b/>
          <w:bCs/>
          <w:sz w:val="28"/>
          <w:szCs w:val="28"/>
        </w:rPr>
        <w:t>Future Pandemics and the Clinical Trial Directive</w:t>
      </w:r>
    </w:p>
    <w:p w14:paraId="4967BDB5" w14:textId="2B7098E0" w:rsidR="00FD380D" w:rsidRDefault="00FD380D" w:rsidP="00AC0EE9">
      <w:pPr>
        <w:widowControl w:val="0"/>
        <w:tabs>
          <w:tab w:val="left" w:pos="215"/>
        </w:tabs>
        <w:spacing w:after="0" w:line="180" w:lineRule="auto"/>
        <w:ind w:left="531" w:hanging="531"/>
        <w:jc w:val="both"/>
        <w:rPr>
          <w:sz w:val="24"/>
          <w:szCs w:val="24"/>
        </w:rPr>
      </w:pPr>
      <w:r>
        <w:rPr>
          <w:sz w:val="24"/>
          <w:szCs w:val="24"/>
        </w:rPr>
        <w:tab/>
      </w:r>
      <w:r>
        <w:rPr>
          <w:sz w:val="24"/>
          <w:szCs w:val="24"/>
        </w:rPr>
        <w:tab/>
        <w:t>Bassam Hallis, Public Health England, Head of Pre-Clinical Dev &amp; General Project Manager National Infection Service</w:t>
      </w:r>
    </w:p>
    <w:p w14:paraId="2BE5B806" w14:textId="77777777" w:rsidR="00FD380D" w:rsidRDefault="00FD380D" w:rsidP="00AC0EE9">
      <w:pPr>
        <w:widowControl w:val="0"/>
        <w:spacing w:after="0" w:line="225" w:lineRule="auto"/>
        <w:jc w:val="both"/>
        <w:rPr>
          <w:sz w:val="6"/>
          <w:szCs w:val="6"/>
        </w:rPr>
      </w:pPr>
      <w:r>
        <w:rPr>
          <w:sz w:val="6"/>
          <w:szCs w:val="6"/>
        </w:rPr>
        <w:t> </w:t>
      </w:r>
    </w:p>
    <w:p w14:paraId="26D18DE8" w14:textId="072345E4" w:rsidR="00FD380D" w:rsidRDefault="00FD380D" w:rsidP="00AC0EE9">
      <w:pPr>
        <w:widowControl w:val="0"/>
        <w:tabs>
          <w:tab w:val="left" w:pos="215"/>
        </w:tabs>
        <w:spacing w:after="0" w:line="180" w:lineRule="auto"/>
        <w:ind w:left="531" w:hanging="531"/>
        <w:jc w:val="both"/>
        <w:rPr>
          <w:b/>
          <w:bCs/>
          <w:sz w:val="28"/>
          <w:szCs w:val="28"/>
        </w:rPr>
      </w:pPr>
      <w:r>
        <w:rPr>
          <w:b/>
          <w:bCs/>
          <w:sz w:val="28"/>
          <w:szCs w:val="28"/>
        </w:rPr>
        <w:t xml:space="preserve">Future Planning Q&amp;A/Panel Discussion </w:t>
      </w:r>
    </w:p>
    <w:p w14:paraId="503DBAF2" w14:textId="77777777" w:rsidR="00FD380D" w:rsidRDefault="00FD380D" w:rsidP="00AC0EE9">
      <w:pPr>
        <w:widowControl w:val="0"/>
        <w:spacing w:after="0" w:line="225" w:lineRule="auto"/>
        <w:jc w:val="both"/>
        <w:rPr>
          <w:sz w:val="6"/>
          <w:szCs w:val="6"/>
        </w:rPr>
      </w:pPr>
      <w:r>
        <w:rPr>
          <w:sz w:val="6"/>
          <w:szCs w:val="6"/>
        </w:rPr>
        <w:t> </w:t>
      </w:r>
    </w:p>
    <w:p w14:paraId="21E9D054" w14:textId="29B7B18D" w:rsidR="00FD380D" w:rsidRDefault="00FD380D" w:rsidP="00AC0EE9">
      <w:pPr>
        <w:widowControl w:val="0"/>
        <w:tabs>
          <w:tab w:val="left" w:pos="215"/>
        </w:tabs>
        <w:spacing w:after="0" w:line="180" w:lineRule="auto"/>
        <w:ind w:left="531" w:hanging="531"/>
        <w:jc w:val="both"/>
        <w:rPr>
          <w:b/>
          <w:bCs/>
          <w:sz w:val="28"/>
          <w:szCs w:val="28"/>
        </w:rPr>
      </w:pPr>
      <w:r>
        <w:rPr>
          <w:b/>
          <w:bCs/>
          <w:sz w:val="28"/>
          <w:szCs w:val="28"/>
        </w:rPr>
        <w:t>CEPI Centralized Laboratory Network: How to Become Involved?</w:t>
      </w:r>
    </w:p>
    <w:p w14:paraId="2384F523" w14:textId="65C7EC34" w:rsidR="00FD380D" w:rsidRDefault="00FD380D" w:rsidP="00AC0EE9">
      <w:pPr>
        <w:widowControl w:val="0"/>
        <w:tabs>
          <w:tab w:val="left" w:pos="215"/>
        </w:tabs>
        <w:spacing w:after="0" w:line="180" w:lineRule="auto"/>
        <w:ind w:left="531" w:hanging="531"/>
        <w:jc w:val="both"/>
        <w:rPr>
          <w:i/>
          <w:iCs/>
          <w:sz w:val="24"/>
          <w:szCs w:val="24"/>
        </w:rPr>
      </w:pPr>
      <w:r>
        <w:rPr>
          <w:b/>
          <w:bCs/>
          <w:sz w:val="24"/>
          <w:szCs w:val="24"/>
        </w:rPr>
        <w:tab/>
      </w:r>
      <w:r>
        <w:rPr>
          <w:b/>
          <w:bCs/>
          <w:sz w:val="24"/>
          <w:szCs w:val="24"/>
        </w:rPr>
        <w:tab/>
      </w:r>
      <w:r>
        <w:rPr>
          <w:i/>
          <w:iCs/>
          <w:sz w:val="24"/>
          <w:szCs w:val="24"/>
        </w:rPr>
        <w:t>Ana Paula De Almeida Aranha, CEPI, Project Manager of Centralized Laboratory Network</w:t>
      </w:r>
    </w:p>
    <w:p w14:paraId="3EBD05C6" w14:textId="77777777" w:rsidR="00FD380D" w:rsidRDefault="00FD380D" w:rsidP="00AC0EE9">
      <w:pPr>
        <w:widowControl w:val="0"/>
        <w:spacing w:after="0" w:line="225" w:lineRule="auto"/>
        <w:jc w:val="both"/>
        <w:rPr>
          <w:sz w:val="6"/>
          <w:szCs w:val="6"/>
        </w:rPr>
      </w:pPr>
      <w:r>
        <w:rPr>
          <w:sz w:val="6"/>
          <w:szCs w:val="6"/>
        </w:rPr>
        <w:t> </w:t>
      </w:r>
    </w:p>
    <w:p w14:paraId="3B8E869B" w14:textId="77777777" w:rsidR="00172643" w:rsidRDefault="00172643" w:rsidP="00AC0EE9">
      <w:pPr>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br w:type="page"/>
      </w:r>
    </w:p>
    <w:p w14:paraId="1BA31E28" w14:textId="113DC082" w:rsidR="00E812F9" w:rsidRDefault="00BB6B63" w:rsidP="00AC0EE9">
      <w:pPr>
        <w:pStyle w:val="Heading1"/>
        <w:jc w:val="both"/>
      </w:pPr>
      <w:r>
        <w:lastRenderedPageBreak/>
        <w:t>Executive summary</w:t>
      </w:r>
    </w:p>
    <w:p w14:paraId="1BEB4C72" w14:textId="77777777" w:rsidR="0057016B" w:rsidRPr="001E4E1C" w:rsidRDefault="0057016B" w:rsidP="00AC0EE9">
      <w:pPr>
        <w:pStyle w:val="Heading1"/>
        <w:jc w:val="both"/>
        <w:rPr>
          <w:sz w:val="28"/>
          <w:szCs w:val="28"/>
        </w:rPr>
      </w:pPr>
      <w:r w:rsidRPr="001E4E1C">
        <w:t>Session 1: A Year in Review</w:t>
      </w:r>
    </w:p>
    <w:p w14:paraId="090EE81D" w14:textId="77777777" w:rsidR="0057016B" w:rsidRPr="0057016B" w:rsidRDefault="0057016B" w:rsidP="00AC0EE9">
      <w:pPr>
        <w:jc w:val="both"/>
      </w:pPr>
    </w:p>
    <w:p w14:paraId="1268322E" w14:textId="6AF1DA50" w:rsidR="007A19B8" w:rsidRPr="00DA1F1D" w:rsidRDefault="007A19B8" w:rsidP="00AC0EE9">
      <w:pPr>
        <w:jc w:val="both"/>
        <w:rPr>
          <w:rFonts w:cstheme="minorHAnsi"/>
        </w:rPr>
      </w:pPr>
      <w:r w:rsidRPr="00DA1F1D">
        <w:rPr>
          <w:rFonts w:cstheme="minorHAnsi"/>
        </w:rPr>
        <w:t xml:space="preserve">CEPI is a global coalition made up of public, private, philanthropic and civil society organizations with the mission to accelerate the development of vaccines against emerging infectious diseases and enable equitable access to these vaccines for affected populations during outbreaks in order to create a world in which epidemics are no longer a threat to humanity. To achieve this goal, CEPI funds numerous vaccine development projects and cross cutting enabling science activities. </w:t>
      </w:r>
    </w:p>
    <w:p w14:paraId="0B4CFCA7" w14:textId="3F9F864F" w:rsidR="007A19B8" w:rsidRPr="00DA1F1D" w:rsidRDefault="007A19B8" w:rsidP="00AC0EE9">
      <w:pPr>
        <w:jc w:val="both"/>
        <w:rPr>
          <w:rFonts w:cstheme="minorHAnsi"/>
        </w:rPr>
      </w:pPr>
      <w:r w:rsidRPr="00DA1F1D">
        <w:rPr>
          <w:rFonts w:cstheme="minorHAnsi"/>
        </w:rPr>
        <w:t xml:space="preserve">In addition to COVID-19, CEPI’s target pathogens include Ebola virus, Lassa virus, Middle East Respiratory Syndrome coronavirus, </w:t>
      </w:r>
      <w:proofErr w:type="spellStart"/>
      <w:r w:rsidRPr="00DA1F1D">
        <w:rPr>
          <w:rFonts w:cstheme="minorHAnsi"/>
        </w:rPr>
        <w:t>Nipah</w:t>
      </w:r>
      <w:proofErr w:type="spellEnd"/>
      <w:r w:rsidRPr="00DA1F1D">
        <w:rPr>
          <w:rFonts w:cstheme="minorHAnsi"/>
        </w:rPr>
        <w:t xml:space="preserve"> virus, Rift Valley Fever </w:t>
      </w:r>
      <w:r w:rsidR="00A20A8B">
        <w:rPr>
          <w:rFonts w:cstheme="minorHAnsi"/>
        </w:rPr>
        <w:t xml:space="preserve">virus </w:t>
      </w:r>
      <w:r w:rsidRPr="00DA1F1D">
        <w:rPr>
          <w:rFonts w:cstheme="minorHAnsi"/>
        </w:rPr>
        <w:t>and Chikungunya virus. CEPI also invested in platform technologies that can be used for rapid vaccine and immunoprophylactic development against unknown pathogens (Disease X). A full list of all the vaccine candidates we fund and their status in clinical development can be found on the CEPI website.</w:t>
      </w:r>
    </w:p>
    <w:p w14:paraId="2385471F" w14:textId="77777777" w:rsidR="007A19B8" w:rsidRPr="00DA1F1D" w:rsidRDefault="007A19B8" w:rsidP="00AC0EE9">
      <w:pPr>
        <w:jc w:val="both"/>
        <w:rPr>
          <w:rFonts w:cstheme="minorHAnsi"/>
        </w:rPr>
      </w:pPr>
      <w:r w:rsidRPr="00DA1F1D">
        <w:rPr>
          <w:rFonts w:cstheme="minorHAnsi"/>
        </w:rPr>
        <w:t>COVAX is the vaccines pillar of the ACT Accelerator, a collaboration between CEPI, Gavi and the World Health Organization, with key delivery partner UNICEF. COVAX provides countries access to the world’s largest portfolio of vaccine candidates, actively managed by CEPI’s R&amp;D experts.</w:t>
      </w:r>
    </w:p>
    <w:p w14:paraId="4B06296F" w14:textId="77777777" w:rsidR="007A19B8" w:rsidRPr="00DA1F1D" w:rsidRDefault="007A19B8" w:rsidP="00AC0EE9">
      <w:pPr>
        <w:jc w:val="both"/>
        <w:rPr>
          <w:rFonts w:cstheme="minorHAnsi"/>
        </w:rPr>
      </w:pPr>
      <w:r w:rsidRPr="00DA1F1D">
        <w:rPr>
          <w:rFonts w:cstheme="minorHAnsi"/>
        </w:rPr>
        <w:t>Over 200 million COVAX doses have been delivered worldwide. COVAX also provides cross-cutting support to vaccine developers through SWAT teams. This webinar is organized by the Enabling Sciences SWAT team, which supports COVID-19 vaccine developers in the area of standards, assays and animal models.</w:t>
      </w:r>
    </w:p>
    <w:p w14:paraId="5DF394F5" w14:textId="69113C2A" w:rsidR="007A19B8" w:rsidRPr="00DA1F1D" w:rsidRDefault="007A19B8" w:rsidP="00AC0EE9">
      <w:pPr>
        <w:jc w:val="both"/>
        <w:rPr>
          <w:rFonts w:cstheme="minorHAnsi"/>
        </w:rPr>
      </w:pPr>
      <w:r w:rsidRPr="00DA1F1D">
        <w:rPr>
          <w:rFonts w:cstheme="minorHAnsi"/>
        </w:rPr>
        <w:t>The genetic sequence of SARS-CoV-2 was published on 11th January 2020 and this triggered an intense global R&amp;D activity to develop a vaccine against the virus. At present, more than 400 vaccine developers are active worldwide to develop a vaccine against it. You can imagine how comparing immune responses induced by different vaccine candidates is extremely challenging. These vaccines are at different stages of development, use different technology platforms, samples are collected, transported, stored in different ways and the lack of standardization among different assays</w:t>
      </w:r>
      <w:r w:rsidR="00A20A8B">
        <w:rPr>
          <w:rFonts w:cstheme="minorHAnsi"/>
        </w:rPr>
        <w:t xml:space="preserve"> with different readouts</w:t>
      </w:r>
      <w:r w:rsidRPr="00DA1F1D">
        <w:rPr>
          <w:rFonts w:cstheme="minorHAnsi"/>
        </w:rPr>
        <w:t xml:space="preserve"> and different testing laboratories makes the comparison very difficult. </w:t>
      </w:r>
    </w:p>
    <w:p w14:paraId="0266D661" w14:textId="1E4B1A64" w:rsidR="00CD6820" w:rsidRDefault="007A19B8" w:rsidP="00CD6820">
      <w:pPr>
        <w:jc w:val="both"/>
      </w:pPr>
      <w:r w:rsidRPr="00DA1F1D">
        <w:rPr>
          <w:rFonts w:cstheme="minorHAnsi"/>
        </w:rPr>
        <w:t xml:space="preserve">To improve immunological assay standardization, CEPI, WHO and the National institute for </w:t>
      </w:r>
      <w:r w:rsidR="00A20A8B">
        <w:rPr>
          <w:rFonts w:cstheme="minorHAnsi"/>
        </w:rPr>
        <w:t>B</w:t>
      </w:r>
      <w:r w:rsidRPr="00DA1F1D">
        <w:rPr>
          <w:rFonts w:cstheme="minorHAnsi"/>
        </w:rPr>
        <w:t xml:space="preserve">iological </w:t>
      </w:r>
      <w:r w:rsidR="00A20A8B">
        <w:rPr>
          <w:rFonts w:cstheme="minorHAnsi"/>
        </w:rPr>
        <w:t>S</w:t>
      </w:r>
      <w:r w:rsidRPr="00DA1F1D">
        <w:rPr>
          <w:rFonts w:cstheme="minorHAnsi"/>
        </w:rPr>
        <w:t xml:space="preserve">tandards and </w:t>
      </w:r>
      <w:r w:rsidR="00A20A8B">
        <w:rPr>
          <w:rFonts w:cstheme="minorHAnsi"/>
        </w:rPr>
        <w:t>C</w:t>
      </w:r>
      <w:r w:rsidRPr="00DA1F1D">
        <w:rPr>
          <w:rFonts w:cstheme="minorHAnsi"/>
        </w:rPr>
        <w:t>ontrol have worked together to develop and make available worldwide reference serum panels</w:t>
      </w:r>
      <w:r w:rsidR="001B3345">
        <w:rPr>
          <w:rFonts w:cstheme="minorHAnsi"/>
        </w:rPr>
        <w:t xml:space="preserve">, </w:t>
      </w:r>
      <w:r w:rsidRPr="00DA1F1D">
        <w:rPr>
          <w:rFonts w:cstheme="minorHAnsi"/>
        </w:rPr>
        <w:t xml:space="preserve">the </w:t>
      </w:r>
      <w:r w:rsidR="001B3345">
        <w:t xml:space="preserve">First WHO International </w:t>
      </w:r>
      <w:r w:rsidR="001B3345" w:rsidRPr="004F17CB">
        <w:t>Standard</w:t>
      </w:r>
      <w:r w:rsidR="001B3345" w:rsidRPr="004F17CB">
        <w:rPr>
          <w:color w:val="000000"/>
        </w:rPr>
        <w:t xml:space="preserve"> for anti-SARS-CoV-2 immunoglobulin</w:t>
      </w:r>
      <w:r w:rsidR="001B3345" w:rsidRPr="004F17CB">
        <w:rPr>
          <w:rFonts w:ascii="Calibri" w:eastAsia="Calibri" w:hAnsi="Calibri" w:cs="Times New Roman"/>
          <w:color w:val="000000"/>
        </w:rPr>
        <w:t xml:space="preserve"> and First WHO International Reference Panel for anti-SARS-CoV-2 immunoglobulin</w:t>
      </w:r>
      <w:r w:rsidRPr="00DA1F1D">
        <w:rPr>
          <w:rFonts w:cstheme="minorHAnsi"/>
        </w:rPr>
        <w:t xml:space="preserve">. These reagents are of fundamental importance to harmonize serological assay results across </w:t>
      </w:r>
      <w:r w:rsidRPr="001B3345">
        <w:rPr>
          <w:rFonts w:cstheme="minorHAnsi"/>
        </w:rPr>
        <w:t>different vaccine candidates.</w:t>
      </w:r>
      <w:r w:rsidR="00CD6820" w:rsidRPr="001B3345">
        <w:rPr>
          <w:rFonts w:cstheme="minorHAnsi"/>
        </w:rPr>
        <w:t xml:space="preserve"> </w:t>
      </w:r>
      <w:r w:rsidR="00CD6820" w:rsidRPr="001B3345">
        <w:t xml:space="preserve">During the preparation of the </w:t>
      </w:r>
      <w:r w:rsidR="004F17CB" w:rsidRPr="001B3345">
        <w:t>First WHO International Standard</w:t>
      </w:r>
      <w:r w:rsidR="004F17CB" w:rsidRPr="001B3345">
        <w:rPr>
          <w:color w:val="000000"/>
        </w:rPr>
        <w:t xml:space="preserve"> for anti-SARS-CoV-2 immunoglobulin</w:t>
      </w:r>
      <w:r w:rsidR="00CD6820" w:rsidRPr="001B3345">
        <w:t>, research reagents have been made available since May 2020 as an intermediate solution for improving the interpretation of the results from the assays. Conversion factor was also provided to bridge the data generated before the establishment of the WHO International Standard.</w:t>
      </w:r>
    </w:p>
    <w:p w14:paraId="5E98770A" w14:textId="4D89921C" w:rsidR="007A19B8" w:rsidRPr="00DA1F1D" w:rsidRDefault="007A19B8" w:rsidP="00AC0EE9">
      <w:pPr>
        <w:jc w:val="both"/>
        <w:rPr>
          <w:rFonts w:cstheme="minorHAnsi"/>
        </w:rPr>
      </w:pPr>
      <w:r w:rsidRPr="00DA1F1D">
        <w:rPr>
          <w:rFonts w:cstheme="minorHAnsi"/>
        </w:rPr>
        <w:t>In parallel, as</w:t>
      </w:r>
      <w:r w:rsidR="00A20A8B">
        <w:rPr>
          <w:rFonts w:cstheme="minorHAnsi"/>
        </w:rPr>
        <w:t xml:space="preserve"> a</w:t>
      </w:r>
      <w:r w:rsidRPr="00DA1F1D">
        <w:rPr>
          <w:rFonts w:cstheme="minorHAnsi"/>
        </w:rPr>
        <w:t xml:space="preserve"> synergistic approach to improve immunological assay standardization worldwide, CEPI has created a Centralized </w:t>
      </w:r>
      <w:r w:rsidR="00A20A8B">
        <w:rPr>
          <w:rFonts w:cstheme="minorHAnsi"/>
        </w:rPr>
        <w:t>L</w:t>
      </w:r>
      <w:r w:rsidRPr="00DA1F1D">
        <w:rPr>
          <w:rFonts w:cstheme="minorHAnsi"/>
        </w:rPr>
        <w:t xml:space="preserve">aboratory </w:t>
      </w:r>
      <w:r w:rsidR="00A20A8B">
        <w:rPr>
          <w:rFonts w:cstheme="minorHAnsi"/>
        </w:rPr>
        <w:t>N</w:t>
      </w:r>
      <w:r w:rsidRPr="00DA1F1D">
        <w:rPr>
          <w:rFonts w:cstheme="minorHAnsi"/>
        </w:rPr>
        <w:t>etwork selecting laboratories with the highest quality standards</w:t>
      </w:r>
      <w:r w:rsidR="00A20A8B">
        <w:rPr>
          <w:rFonts w:cstheme="minorHAnsi"/>
        </w:rPr>
        <w:t xml:space="preserve"> using a </w:t>
      </w:r>
      <w:r w:rsidRPr="00DA1F1D">
        <w:rPr>
          <w:rFonts w:cstheme="minorHAnsi"/>
        </w:rPr>
        <w:t xml:space="preserve">core set of assays needed for key immunogenicity and efficacy end point evaluation and harmonizing protocols and key reagents across the laboratories. </w:t>
      </w:r>
    </w:p>
    <w:p w14:paraId="1A1BB3DF" w14:textId="77777777" w:rsidR="007A19B8" w:rsidRPr="00DA1F1D" w:rsidRDefault="007A19B8" w:rsidP="00AC0EE9">
      <w:pPr>
        <w:jc w:val="both"/>
        <w:rPr>
          <w:rFonts w:cstheme="minorHAnsi"/>
        </w:rPr>
      </w:pPr>
      <w:r w:rsidRPr="00DA1F1D">
        <w:rPr>
          <w:rFonts w:cstheme="minorHAnsi"/>
        </w:rPr>
        <w:lastRenderedPageBreak/>
        <w:t>The CEPI Centralized Laboratory Network is open to all vaccine developers worldwide to test samples from pre-clinical to Phase III clinical studies to facilitate rapid evaluation, approval, and dissemination of the most effective vaccine candidates and support their pathway towards licensure, increasing the chances of finding successful Covid-19 vaccines.</w:t>
      </w:r>
    </w:p>
    <w:p w14:paraId="33D02171" w14:textId="2AC0E1DA" w:rsidR="007A19B8" w:rsidRPr="00DA1F1D" w:rsidRDefault="007A19B8" w:rsidP="00AC0EE9">
      <w:pPr>
        <w:jc w:val="both"/>
        <w:rPr>
          <w:rFonts w:cstheme="minorHAnsi"/>
        </w:rPr>
      </w:pPr>
      <w:r w:rsidRPr="00DA1F1D">
        <w:rPr>
          <w:rFonts w:cstheme="minorHAnsi"/>
        </w:rPr>
        <w:t>The Network counts today 9 laboratories across the globe, 3 in North America (</w:t>
      </w:r>
      <w:proofErr w:type="spellStart"/>
      <w:r w:rsidRPr="00DA1F1D">
        <w:rPr>
          <w:rFonts w:cstheme="minorHAnsi"/>
        </w:rPr>
        <w:t>Nexelis</w:t>
      </w:r>
      <w:proofErr w:type="spellEnd"/>
      <w:r w:rsidRPr="00DA1F1D">
        <w:rPr>
          <w:rFonts w:cstheme="minorHAnsi"/>
        </w:rPr>
        <w:t xml:space="preserve"> in Canada, Q2 Solutions in the US and the National Autonomous University of Mexico in Mexico), 4 in Europe (Public Health England and the National </w:t>
      </w:r>
      <w:r w:rsidR="00A20A8B">
        <w:rPr>
          <w:rFonts w:cstheme="minorHAnsi"/>
        </w:rPr>
        <w:t>I</w:t>
      </w:r>
      <w:r w:rsidRPr="00DA1F1D">
        <w:rPr>
          <w:rFonts w:cstheme="minorHAnsi"/>
        </w:rPr>
        <w:t xml:space="preserve">nstitute for </w:t>
      </w:r>
      <w:r w:rsidR="00A20A8B">
        <w:rPr>
          <w:rFonts w:cstheme="minorHAnsi"/>
        </w:rPr>
        <w:t>B</w:t>
      </w:r>
      <w:r w:rsidRPr="00DA1F1D">
        <w:rPr>
          <w:rFonts w:cstheme="minorHAnsi"/>
        </w:rPr>
        <w:t xml:space="preserve">iologic </w:t>
      </w:r>
      <w:r w:rsidR="00A20A8B">
        <w:rPr>
          <w:rFonts w:cstheme="minorHAnsi"/>
        </w:rPr>
        <w:t>S</w:t>
      </w:r>
      <w:r w:rsidRPr="00DA1F1D">
        <w:rPr>
          <w:rFonts w:cstheme="minorHAnsi"/>
        </w:rPr>
        <w:t xml:space="preserve">tandards and </w:t>
      </w:r>
      <w:r w:rsidR="00A20A8B">
        <w:rPr>
          <w:rFonts w:cstheme="minorHAnsi"/>
        </w:rPr>
        <w:t>C</w:t>
      </w:r>
      <w:r w:rsidRPr="00DA1F1D">
        <w:rPr>
          <w:rFonts w:cstheme="minorHAnsi"/>
        </w:rPr>
        <w:t xml:space="preserve">ontrol in the UK, </w:t>
      </w:r>
      <w:proofErr w:type="spellStart"/>
      <w:r w:rsidRPr="00DA1F1D">
        <w:rPr>
          <w:rFonts w:cstheme="minorHAnsi"/>
        </w:rPr>
        <w:t>Vismederi</w:t>
      </w:r>
      <w:proofErr w:type="spellEnd"/>
      <w:r w:rsidRPr="00DA1F1D">
        <w:rPr>
          <w:rFonts w:cstheme="minorHAnsi"/>
        </w:rPr>
        <w:t xml:space="preserve"> in Italy and </w:t>
      </w:r>
      <w:proofErr w:type="spellStart"/>
      <w:r w:rsidRPr="00DA1F1D">
        <w:rPr>
          <w:rFonts w:cstheme="minorHAnsi"/>
        </w:rPr>
        <w:t>Viroclinics</w:t>
      </w:r>
      <w:proofErr w:type="spellEnd"/>
      <w:r w:rsidRPr="00DA1F1D">
        <w:rPr>
          <w:rFonts w:cstheme="minorHAnsi"/>
        </w:rPr>
        <w:t xml:space="preserve"> in the Netherlands) and 2 in Asia (Translational Health Science and Technology Institute in India and the International Centre for </w:t>
      </w:r>
      <w:r w:rsidR="00A20A8B" w:rsidRPr="00DA1F1D">
        <w:rPr>
          <w:rFonts w:cstheme="minorHAnsi"/>
        </w:rPr>
        <w:t>Diarrheal</w:t>
      </w:r>
      <w:r w:rsidRPr="00DA1F1D">
        <w:rPr>
          <w:rFonts w:cstheme="minorHAnsi"/>
        </w:rPr>
        <w:t xml:space="preserve"> Disease Research in Bangladesh). </w:t>
      </w:r>
    </w:p>
    <w:p w14:paraId="529FC511" w14:textId="3ABA1649" w:rsidR="007A19B8" w:rsidRPr="00DA1F1D" w:rsidRDefault="007A19B8" w:rsidP="00AC0EE9">
      <w:pPr>
        <w:jc w:val="both"/>
        <w:rPr>
          <w:rFonts w:cstheme="minorHAnsi"/>
        </w:rPr>
      </w:pPr>
      <w:r w:rsidRPr="00DA1F1D">
        <w:rPr>
          <w:rFonts w:cstheme="minorHAnsi"/>
        </w:rPr>
        <w:t xml:space="preserve">The Laboratories of the network are performing ELISA for spike protein, receptor binding domain and N protein, pseudo virus and wild type virus neutralization assays and </w:t>
      </w:r>
      <w:proofErr w:type="spellStart"/>
      <w:r w:rsidRPr="00DA1F1D">
        <w:rPr>
          <w:rFonts w:cstheme="minorHAnsi"/>
        </w:rPr>
        <w:t>IFNy</w:t>
      </w:r>
      <w:proofErr w:type="spellEnd"/>
      <w:r w:rsidRPr="00DA1F1D">
        <w:rPr>
          <w:rFonts w:cstheme="minorHAnsi"/>
        </w:rPr>
        <w:t>/IL-5 ELISPOT using the exact same protocols and the same standardized reagents to ensure harmonization and comparability of results. The assays are qualified and validated and are being tech</w:t>
      </w:r>
      <w:r w:rsidR="00A20A8B">
        <w:rPr>
          <w:rFonts w:cstheme="minorHAnsi"/>
        </w:rPr>
        <w:t>nically</w:t>
      </w:r>
      <w:r w:rsidRPr="00DA1F1D">
        <w:rPr>
          <w:rFonts w:cstheme="minorHAnsi"/>
        </w:rPr>
        <w:t xml:space="preserve"> transferred to all the labs of the network. </w:t>
      </w:r>
    </w:p>
    <w:p w14:paraId="5657EEEC" w14:textId="7FF2560A" w:rsidR="007A19B8" w:rsidRPr="00DA1F1D" w:rsidRDefault="007A19B8" w:rsidP="00AC0EE9">
      <w:pPr>
        <w:jc w:val="both"/>
        <w:rPr>
          <w:rFonts w:cstheme="minorHAnsi"/>
        </w:rPr>
      </w:pPr>
      <w:proofErr w:type="spellStart"/>
      <w:r w:rsidRPr="00DA1F1D">
        <w:rPr>
          <w:rFonts w:cstheme="minorHAnsi"/>
        </w:rPr>
        <w:t>Nexelis</w:t>
      </w:r>
      <w:proofErr w:type="spellEnd"/>
      <w:r w:rsidRPr="00DA1F1D">
        <w:rPr>
          <w:rFonts w:cstheme="minorHAnsi"/>
        </w:rPr>
        <w:t xml:space="preserve"> is transferring ELISA, pseudo virus neutralization assay and ELISPOT to every lab of the network, while Public Health England is transferring </w:t>
      </w:r>
      <w:r w:rsidR="00A20A8B">
        <w:rPr>
          <w:rFonts w:cstheme="minorHAnsi"/>
        </w:rPr>
        <w:t xml:space="preserve">a </w:t>
      </w:r>
      <w:r w:rsidRPr="00DA1F1D">
        <w:rPr>
          <w:rFonts w:cstheme="minorHAnsi"/>
        </w:rPr>
        <w:t>wild type</w:t>
      </w:r>
      <w:r w:rsidR="001B3345">
        <w:rPr>
          <w:rFonts w:cstheme="minorHAnsi"/>
        </w:rPr>
        <w:t xml:space="preserve"> (live)</w:t>
      </w:r>
      <w:r w:rsidRPr="00DA1F1D">
        <w:rPr>
          <w:rFonts w:cstheme="minorHAnsi"/>
        </w:rPr>
        <w:t xml:space="preserve"> virus neutralization assay to the labs that have BSL-3 capacity. The results from binding and neutralizing antibody measurements are bridged to the WHO International Antibody Standard and are expressed in</w:t>
      </w:r>
      <w:r w:rsidR="00DC0F59">
        <w:rPr>
          <w:rFonts w:cstheme="minorHAnsi"/>
        </w:rPr>
        <w:t xml:space="preserve"> </w:t>
      </w:r>
      <w:r w:rsidR="00DC0F59" w:rsidRPr="00DC0F59">
        <w:rPr>
          <w:rFonts w:cstheme="minorHAnsi"/>
        </w:rPr>
        <w:t>binding antibody units</w:t>
      </w:r>
      <w:r w:rsidR="00DC0F59">
        <w:rPr>
          <w:rFonts w:cstheme="minorHAnsi"/>
        </w:rPr>
        <w:t xml:space="preserve"> (BAU)</w:t>
      </w:r>
      <w:r w:rsidRPr="00DA1F1D">
        <w:rPr>
          <w:rFonts w:cstheme="minorHAnsi"/>
        </w:rPr>
        <w:t>.</w:t>
      </w:r>
    </w:p>
    <w:p w14:paraId="0675B419" w14:textId="44A53511" w:rsidR="007A19B8" w:rsidRPr="00DA1F1D" w:rsidRDefault="007A19B8" w:rsidP="00AC0EE9">
      <w:pPr>
        <w:jc w:val="both"/>
        <w:rPr>
          <w:rFonts w:cstheme="minorHAnsi"/>
        </w:rPr>
      </w:pPr>
      <w:r w:rsidRPr="00DA1F1D">
        <w:rPr>
          <w:rFonts w:cstheme="minorHAnsi"/>
        </w:rPr>
        <w:t>The tech</w:t>
      </w:r>
      <w:r w:rsidR="00A20A8B">
        <w:rPr>
          <w:rFonts w:cstheme="minorHAnsi"/>
        </w:rPr>
        <w:t>nical</w:t>
      </w:r>
      <w:r w:rsidRPr="00DA1F1D">
        <w:rPr>
          <w:rFonts w:cstheme="minorHAnsi"/>
        </w:rPr>
        <w:t xml:space="preserve"> transfer process was developed to ensure harmonization across laboratories. Some of the elements of success that were included in the transfer were:</w:t>
      </w:r>
    </w:p>
    <w:p w14:paraId="6C8AC6D2" w14:textId="10F1A3FC" w:rsidR="007A19B8" w:rsidRPr="00DA1F1D" w:rsidRDefault="007A19B8" w:rsidP="00AC0EE9">
      <w:pPr>
        <w:jc w:val="both"/>
        <w:rPr>
          <w:rFonts w:cstheme="minorHAnsi"/>
        </w:rPr>
      </w:pPr>
      <w:r w:rsidRPr="00DA1F1D">
        <w:rPr>
          <w:rFonts w:cstheme="minorHAnsi"/>
        </w:rPr>
        <w:t>-The use of key reagents produced by the same source and distributed to all the labs equally. For example, serum panels, reference reagents, coating antigens and viruses</w:t>
      </w:r>
    </w:p>
    <w:p w14:paraId="22FA58C8" w14:textId="47D2A8E8" w:rsidR="007A19B8" w:rsidRPr="00DA1F1D" w:rsidRDefault="007A19B8" w:rsidP="00AC0EE9">
      <w:pPr>
        <w:jc w:val="both"/>
        <w:rPr>
          <w:rFonts w:cstheme="minorHAnsi"/>
        </w:rPr>
      </w:pPr>
      <w:r w:rsidRPr="00DA1F1D">
        <w:rPr>
          <w:rFonts w:cstheme="minorHAnsi"/>
        </w:rPr>
        <w:t>-A well-developed tech</w:t>
      </w:r>
      <w:r w:rsidR="00A20A8B">
        <w:rPr>
          <w:rFonts w:cstheme="minorHAnsi"/>
        </w:rPr>
        <w:t>nical</w:t>
      </w:r>
      <w:r w:rsidRPr="00DA1F1D">
        <w:rPr>
          <w:rFonts w:cstheme="minorHAnsi"/>
        </w:rPr>
        <w:t xml:space="preserve"> transfer protocol which included</w:t>
      </w:r>
      <w:r w:rsidR="00A70ECF" w:rsidRPr="00DA1F1D">
        <w:rPr>
          <w:rFonts w:cstheme="minorHAnsi"/>
        </w:rPr>
        <w:t>:</w:t>
      </w:r>
    </w:p>
    <w:p w14:paraId="792CB91C" w14:textId="06FD601A" w:rsidR="007A19B8" w:rsidRPr="00DA1F1D" w:rsidRDefault="007A19B8" w:rsidP="00DA1F1D">
      <w:pPr>
        <w:pStyle w:val="ListParagraph"/>
        <w:numPr>
          <w:ilvl w:val="0"/>
          <w:numId w:val="23"/>
        </w:numPr>
        <w:jc w:val="both"/>
        <w:rPr>
          <w:rFonts w:asciiTheme="minorHAnsi" w:hAnsiTheme="minorHAnsi" w:cstheme="minorHAnsi"/>
          <w:color w:val="auto"/>
          <w:sz w:val="22"/>
          <w:szCs w:val="22"/>
        </w:rPr>
      </w:pPr>
      <w:r w:rsidRPr="00DA1F1D">
        <w:rPr>
          <w:rFonts w:asciiTheme="minorHAnsi" w:hAnsiTheme="minorHAnsi" w:cstheme="minorHAnsi"/>
          <w:color w:val="auto"/>
          <w:sz w:val="22"/>
          <w:szCs w:val="22"/>
        </w:rPr>
        <w:t>Assay overview</w:t>
      </w:r>
    </w:p>
    <w:p w14:paraId="43C659D0" w14:textId="3FD69337" w:rsidR="007A19B8" w:rsidRPr="00DA1F1D" w:rsidRDefault="007A19B8" w:rsidP="00DA1F1D">
      <w:pPr>
        <w:pStyle w:val="ListParagraph"/>
        <w:numPr>
          <w:ilvl w:val="0"/>
          <w:numId w:val="23"/>
        </w:numPr>
        <w:jc w:val="both"/>
        <w:rPr>
          <w:rFonts w:asciiTheme="minorHAnsi" w:hAnsiTheme="minorHAnsi" w:cstheme="minorHAnsi"/>
          <w:color w:val="auto"/>
          <w:sz w:val="22"/>
          <w:szCs w:val="22"/>
        </w:rPr>
      </w:pPr>
      <w:r w:rsidRPr="00DA1F1D">
        <w:rPr>
          <w:rFonts w:asciiTheme="minorHAnsi" w:hAnsiTheme="minorHAnsi" w:cstheme="minorHAnsi"/>
          <w:color w:val="auto"/>
          <w:sz w:val="22"/>
          <w:szCs w:val="22"/>
        </w:rPr>
        <w:t>Gap analysis to highlight differences reference labs and recipient labs and mitigate the impact of the gaps</w:t>
      </w:r>
    </w:p>
    <w:p w14:paraId="2B70571B" w14:textId="650DF90D" w:rsidR="007A19B8" w:rsidRPr="00DA1F1D" w:rsidRDefault="007A19B8" w:rsidP="00DA1F1D">
      <w:pPr>
        <w:pStyle w:val="ListParagraph"/>
        <w:numPr>
          <w:ilvl w:val="0"/>
          <w:numId w:val="23"/>
        </w:numPr>
        <w:jc w:val="both"/>
        <w:rPr>
          <w:rFonts w:asciiTheme="minorHAnsi" w:hAnsiTheme="minorHAnsi" w:cstheme="minorHAnsi"/>
          <w:color w:val="auto"/>
          <w:sz w:val="22"/>
          <w:szCs w:val="22"/>
        </w:rPr>
      </w:pPr>
      <w:r w:rsidRPr="00DA1F1D">
        <w:rPr>
          <w:rFonts w:asciiTheme="minorHAnsi" w:hAnsiTheme="minorHAnsi" w:cstheme="minorHAnsi"/>
          <w:color w:val="auto"/>
          <w:sz w:val="22"/>
          <w:szCs w:val="22"/>
        </w:rPr>
        <w:t>Laboratory comparison assessment to ensure that comparable results can be obtained across laboratories</w:t>
      </w:r>
    </w:p>
    <w:p w14:paraId="0FCA78C9" w14:textId="7C6A14C4" w:rsidR="007A19B8" w:rsidRPr="00DA1F1D" w:rsidRDefault="007A19B8" w:rsidP="00DA1F1D">
      <w:pPr>
        <w:pStyle w:val="ListParagraph"/>
        <w:numPr>
          <w:ilvl w:val="0"/>
          <w:numId w:val="23"/>
        </w:numPr>
        <w:jc w:val="both"/>
        <w:rPr>
          <w:rFonts w:asciiTheme="minorHAnsi" w:hAnsiTheme="minorHAnsi" w:cstheme="minorHAnsi"/>
          <w:color w:val="auto"/>
          <w:sz w:val="22"/>
          <w:szCs w:val="22"/>
        </w:rPr>
      </w:pPr>
      <w:r w:rsidRPr="00DA1F1D">
        <w:rPr>
          <w:rFonts w:asciiTheme="minorHAnsi" w:hAnsiTheme="minorHAnsi" w:cstheme="minorHAnsi"/>
          <w:color w:val="auto"/>
          <w:sz w:val="22"/>
          <w:szCs w:val="22"/>
        </w:rPr>
        <w:t>Assay performance evaluation at recipient laboratories to ensure assay performances were not impacted by the transfer (precision, dilutional linearity, clinical specificity)</w:t>
      </w:r>
    </w:p>
    <w:p w14:paraId="65885F8E" w14:textId="3117B33F" w:rsidR="007A19B8" w:rsidRPr="00DA1F1D" w:rsidRDefault="007A19B8" w:rsidP="00DA1F1D">
      <w:pPr>
        <w:pStyle w:val="ListParagraph"/>
        <w:numPr>
          <w:ilvl w:val="0"/>
          <w:numId w:val="23"/>
        </w:numPr>
        <w:jc w:val="both"/>
        <w:rPr>
          <w:rFonts w:asciiTheme="minorHAnsi" w:hAnsiTheme="minorHAnsi" w:cstheme="minorHAnsi"/>
          <w:color w:val="auto"/>
          <w:sz w:val="22"/>
          <w:szCs w:val="22"/>
        </w:rPr>
      </w:pPr>
      <w:r w:rsidRPr="00DA1F1D">
        <w:rPr>
          <w:rFonts w:asciiTheme="minorHAnsi" w:hAnsiTheme="minorHAnsi" w:cstheme="minorHAnsi"/>
          <w:color w:val="auto"/>
          <w:sz w:val="22"/>
          <w:szCs w:val="22"/>
        </w:rPr>
        <w:t>QC charts and proficiency panel to assess the assay performance over time</w:t>
      </w:r>
    </w:p>
    <w:p w14:paraId="3BC6AEB1" w14:textId="212CAB67" w:rsidR="007A19B8" w:rsidRPr="00DA1F1D" w:rsidRDefault="007A19B8" w:rsidP="00AC0EE9">
      <w:pPr>
        <w:jc w:val="both"/>
        <w:rPr>
          <w:rFonts w:cstheme="minorHAnsi"/>
        </w:rPr>
      </w:pPr>
      <w:r w:rsidRPr="00DA1F1D">
        <w:rPr>
          <w:rFonts w:cstheme="minorHAnsi"/>
        </w:rPr>
        <w:t>- Online training and ad hoc teleconferences</w:t>
      </w:r>
    </w:p>
    <w:p w14:paraId="5028898D" w14:textId="6E72E18B" w:rsidR="007A19B8" w:rsidRPr="00DA1F1D" w:rsidRDefault="007A19B8" w:rsidP="00AC0EE9">
      <w:pPr>
        <w:jc w:val="both"/>
        <w:rPr>
          <w:rFonts w:cstheme="minorHAnsi"/>
        </w:rPr>
      </w:pPr>
      <w:r w:rsidRPr="00DA1F1D">
        <w:rPr>
          <w:rFonts w:cstheme="minorHAnsi"/>
        </w:rPr>
        <w:t>-Fast and transparent communication to make sure all the participants to the program are aligned</w:t>
      </w:r>
    </w:p>
    <w:p w14:paraId="3E31CA7A" w14:textId="58932571" w:rsidR="007A19B8" w:rsidRPr="00DA1F1D" w:rsidRDefault="00A70ECF" w:rsidP="00AC0EE9">
      <w:pPr>
        <w:jc w:val="both"/>
        <w:rPr>
          <w:rFonts w:cstheme="minorHAnsi"/>
        </w:rPr>
      </w:pPr>
      <w:r w:rsidRPr="00DA1F1D">
        <w:rPr>
          <w:rFonts w:cstheme="minorHAnsi"/>
        </w:rPr>
        <w:t>-T</w:t>
      </w:r>
      <w:r w:rsidR="007A19B8" w:rsidRPr="00DA1F1D">
        <w:rPr>
          <w:rFonts w:cstheme="minorHAnsi"/>
        </w:rPr>
        <w:t>eam work</w:t>
      </w:r>
    </w:p>
    <w:p w14:paraId="17318583" w14:textId="68C60920" w:rsidR="007A19B8" w:rsidRPr="00DA1F1D" w:rsidRDefault="007A19B8" w:rsidP="00AC0EE9">
      <w:pPr>
        <w:jc w:val="both"/>
        <w:rPr>
          <w:rFonts w:cstheme="minorHAnsi"/>
        </w:rPr>
      </w:pPr>
      <w:r w:rsidRPr="00DA1F1D">
        <w:rPr>
          <w:rFonts w:cstheme="minorHAnsi"/>
        </w:rPr>
        <w:t xml:space="preserve">All the assays available in the Network are based on the original SARS-CoV-2 strain. However, as everyone knows, all viruses, including SARS-CoV-2, change over time. The CEPI Centralized Laboratory Network is now open for testing of vaccines performance against SARS-CoV-2 variants Alpha, Beta, Gamma and Delta. </w:t>
      </w:r>
      <w:r w:rsidR="00A70ECF" w:rsidRPr="00DA1F1D">
        <w:rPr>
          <w:rFonts w:cstheme="minorHAnsi"/>
        </w:rPr>
        <w:t>CEPI is</w:t>
      </w:r>
      <w:r w:rsidRPr="00DA1F1D">
        <w:rPr>
          <w:rFonts w:cstheme="minorHAnsi"/>
        </w:rPr>
        <w:t xml:space="preserve"> also actively monitoring new circulating SARS-CoV-2 strains that might arise in the future. </w:t>
      </w:r>
    </w:p>
    <w:p w14:paraId="34FED957" w14:textId="7544AD06" w:rsidR="00DB0AFF" w:rsidRPr="00DA1F1D" w:rsidRDefault="00436F40" w:rsidP="00AC0EE9">
      <w:pPr>
        <w:jc w:val="both"/>
        <w:rPr>
          <w:rFonts w:eastAsiaTheme="majorEastAsia" w:cstheme="minorHAnsi"/>
          <w:sz w:val="32"/>
          <w:szCs w:val="32"/>
        </w:rPr>
      </w:pPr>
      <w:r w:rsidRPr="00DA1F1D">
        <w:rPr>
          <w:rFonts w:cstheme="minorHAnsi"/>
        </w:rPr>
        <w:lastRenderedPageBreak/>
        <w:t xml:space="preserve">To identify how to sustain strengths and improve weaknesses on the project and to define recommendations to improve future performance, CEPI runs </w:t>
      </w:r>
      <w:r w:rsidR="00DB0AFF" w:rsidRPr="00DA1F1D">
        <w:rPr>
          <w:rFonts w:cstheme="minorHAnsi"/>
        </w:rPr>
        <w:t>lessons learned exercises every 6 months since project initiation. The area</w:t>
      </w:r>
      <w:r w:rsidR="00B9605B">
        <w:rPr>
          <w:rFonts w:cstheme="minorHAnsi"/>
        </w:rPr>
        <w:t>s</w:t>
      </w:r>
      <w:r w:rsidR="00DB0AFF" w:rsidRPr="00DA1F1D">
        <w:rPr>
          <w:rFonts w:cstheme="minorHAnsi"/>
        </w:rPr>
        <w:t xml:space="preserve"> of focus are: 1) Agreements and contracts 2) Communication, teams and project management 3) Tech</w:t>
      </w:r>
      <w:r w:rsidR="00B9605B">
        <w:rPr>
          <w:rFonts w:cstheme="minorHAnsi"/>
        </w:rPr>
        <w:t>nical</w:t>
      </w:r>
      <w:r w:rsidR="00DB0AFF" w:rsidRPr="00DA1F1D">
        <w:rPr>
          <w:rFonts w:cstheme="minorHAnsi"/>
        </w:rPr>
        <w:t xml:space="preserve"> transfer process 4) SOPs, instructions and training 5) Supply of key reagents and consumables. A detailed outcome of the lessons learned exercise can be found of the slide deck.</w:t>
      </w:r>
    </w:p>
    <w:p w14:paraId="3A14F346" w14:textId="0DC008B0" w:rsidR="0057016B" w:rsidRDefault="0057016B" w:rsidP="00AC0EE9">
      <w:pPr>
        <w:pStyle w:val="Heading1"/>
        <w:jc w:val="both"/>
      </w:pPr>
      <w:r w:rsidRPr="001E4E1C">
        <w:t>Session 2: The Future - Routine Testing</w:t>
      </w:r>
    </w:p>
    <w:p w14:paraId="4951C043" w14:textId="77777777" w:rsidR="003A7953" w:rsidRDefault="003A7953" w:rsidP="00AC0EE9">
      <w:pPr>
        <w:jc w:val="both"/>
      </w:pPr>
      <w:r w:rsidRPr="00C770AE">
        <w:t xml:space="preserve">Epidemic and pandemic diseases affect us all – they do not respect borders. In its short history, CEPI has had an outsized influence in shaping the global R&amp;D ecosystem, </w:t>
      </w:r>
      <w:r>
        <w:t>a</w:t>
      </w:r>
      <w:r w:rsidRPr="00C770AE">
        <w:t xml:space="preserve">ccelerate </w:t>
      </w:r>
      <w:r>
        <w:t xml:space="preserve">the </w:t>
      </w:r>
      <w:r w:rsidRPr="00C770AE">
        <w:t>development of vaccines against emerging infectious diseases and enable equitable access to these vaccines for affected populations during outbreaks.</w:t>
      </w:r>
    </w:p>
    <w:p w14:paraId="604996B1" w14:textId="77777777" w:rsidR="003A7953" w:rsidRDefault="003A7953" w:rsidP="00AC0EE9">
      <w:pPr>
        <w:jc w:val="both"/>
      </w:pPr>
      <w:r w:rsidRPr="00C770AE">
        <w:t>COVID-19 has killed millions and destroyed the livelihoods of hundreds of millions of people. CEPI has set out an ambitious strategy to build a world that is better equipped to deal with pandemics and epidemics.</w:t>
      </w:r>
      <w:r>
        <w:t xml:space="preserve"> CEPI’s plan includes:</w:t>
      </w:r>
    </w:p>
    <w:p w14:paraId="0226E1AA" w14:textId="6BA70D75" w:rsidR="003A7953" w:rsidRDefault="006B2C57" w:rsidP="00AC0EE9">
      <w:pPr>
        <w:jc w:val="both"/>
      </w:pPr>
      <w:r>
        <w:t xml:space="preserve">- </w:t>
      </w:r>
      <w:r w:rsidR="003A7953" w:rsidRPr="00C770AE">
        <w:t>Strengthening our defenses against COVID-19 and reducing the risk of future coronavirus pandemics</w:t>
      </w:r>
    </w:p>
    <w:p w14:paraId="28ABF6AC" w14:textId="238F66B8" w:rsidR="003A7953" w:rsidRDefault="006B2C57" w:rsidP="00AC0EE9">
      <w:pPr>
        <w:jc w:val="both"/>
      </w:pPr>
      <w:r>
        <w:t>-</w:t>
      </w:r>
      <w:r w:rsidR="003A7953" w:rsidRPr="00C770AE">
        <w:t>Developing vaccines for known threats</w:t>
      </w:r>
    </w:p>
    <w:p w14:paraId="6822FC00" w14:textId="4F6462EE" w:rsidR="003A7953" w:rsidRDefault="006B2C57" w:rsidP="00AC0EE9">
      <w:pPr>
        <w:jc w:val="both"/>
      </w:pPr>
      <w:r>
        <w:t>-</w:t>
      </w:r>
      <w:r w:rsidR="003A7953" w:rsidRPr="00C770AE">
        <w:t>Working to compress vaccine development timelines to 100 days</w:t>
      </w:r>
    </w:p>
    <w:p w14:paraId="212A82D7" w14:textId="5934263E" w:rsidR="003A7953" w:rsidRDefault="006B2C57" w:rsidP="00AC0EE9">
      <w:pPr>
        <w:jc w:val="both"/>
      </w:pPr>
      <w:r>
        <w:t>-</w:t>
      </w:r>
      <w:r w:rsidR="003A7953" w:rsidRPr="00C770AE">
        <w:t>Producing a library of prototype vaccines</w:t>
      </w:r>
    </w:p>
    <w:p w14:paraId="76EA28BA" w14:textId="40ABF3F0" w:rsidR="003A7953" w:rsidRDefault="006B2C57" w:rsidP="00AC0EE9">
      <w:pPr>
        <w:jc w:val="both"/>
      </w:pPr>
      <w:r>
        <w:t>-</w:t>
      </w:r>
      <w:r w:rsidR="003A7953" w:rsidRPr="00C770AE">
        <w:t>Establishing global networks for lab capacity, assays, and preclinical models</w:t>
      </w:r>
    </w:p>
    <w:p w14:paraId="1029515F" w14:textId="1FBA08BE" w:rsidR="003A7953" w:rsidRPr="00C770AE" w:rsidRDefault="006B2C57" w:rsidP="00AC0EE9">
      <w:pPr>
        <w:jc w:val="both"/>
      </w:pPr>
      <w:r>
        <w:t>-</w:t>
      </w:r>
      <w:r w:rsidR="003A7953" w:rsidRPr="00C770AE">
        <w:t xml:space="preserve">Supporting the efforts of low- and middle-income countries to take full ownership of their national health security </w:t>
      </w:r>
    </w:p>
    <w:p w14:paraId="1C236F46" w14:textId="77777777" w:rsidR="003A7953" w:rsidRDefault="003A7953" w:rsidP="00AC0EE9">
      <w:pPr>
        <w:jc w:val="both"/>
      </w:pPr>
      <w:r>
        <w:t>CEPI has developed a</w:t>
      </w:r>
      <w:r w:rsidRPr="00C770AE">
        <w:t xml:space="preserve"> five-year plan </w:t>
      </w:r>
      <w:r>
        <w:t>to</w:t>
      </w:r>
      <w:r w:rsidRPr="00C770AE">
        <w:t xml:space="preserve"> prepare for known threats, transform the response to the next novel outbreak, and connect and enhance global collaboration to strengthen global preparedness.</w:t>
      </w:r>
    </w:p>
    <w:p w14:paraId="16708808" w14:textId="77777777" w:rsidR="003A7953" w:rsidRDefault="003A7953" w:rsidP="00AC0EE9">
      <w:pPr>
        <w:jc w:val="both"/>
      </w:pPr>
      <w:r>
        <w:t>CEPI 2.0 strategy will deal with the:</w:t>
      </w:r>
    </w:p>
    <w:p w14:paraId="761F45D6" w14:textId="02E3FA8C" w:rsidR="003A7953" w:rsidRPr="00335F15" w:rsidRDefault="006B2C57" w:rsidP="00AC0EE9">
      <w:pPr>
        <w:jc w:val="both"/>
      </w:pPr>
      <w:r>
        <w:t>-</w:t>
      </w:r>
      <w:r w:rsidR="003A7953">
        <w:t>The d</w:t>
      </w:r>
      <w:r w:rsidR="003A7953" w:rsidRPr="00335F15">
        <w:t xml:space="preserve">evelopment of vaccines and promising biologics against the most </w:t>
      </w:r>
      <w:r w:rsidR="00484E7E" w:rsidRPr="00335F15">
        <w:t>prominent known</w:t>
      </w:r>
      <w:r w:rsidR="003A7953" w:rsidRPr="00335F15">
        <w:t xml:space="preserve"> threats, building on COVID-</w:t>
      </w:r>
      <w:r w:rsidR="00BE14ED" w:rsidRPr="00335F15">
        <w:t>19 achievements</w:t>
      </w:r>
      <w:r w:rsidR="003A7953" w:rsidRPr="00335F15">
        <w:t xml:space="preserve"> and CEPI 1.0; this will help us ending the COVID-19 pandemic and eliminating the risk of new coronavirus pandemics and </w:t>
      </w:r>
      <w:r w:rsidR="003A7953">
        <w:t>a</w:t>
      </w:r>
      <w:r w:rsidR="003A7953" w:rsidRPr="00335F15">
        <w:t>ccelerat</w:t>
      </w:r>
      <w:r w:rsidR="003A7953">
        <w:t>ing the</w:t>
      </w:r>
      <w:r w:rsidR="003A7953" w:rsidRPr="00335F15">
        <w:t xml:space="preserve"> development of vaccines and  other biologics against known high-risk pathogens</w:t>
      </w:r>
    </w:p>
    <w:p w14:paraId="28C72605" w14:textId="57A00466" w:rsidR="003A7953" w:rsidRDefault="006B2C57" w:rsidP="00AC0EE9">
      <w:pPr>
        <w:jc w:val="both"/>
      </w:pPr>
      <w:r>
        <w:t>-</w:t>
      </w:r>
      <w:r w:rsidR="003A7953">
        <w:t>The u</w:t>
      </w:r>
      <w:r w:rsidR="003A7953" w:rsidRPr="00335F15">
        <w:t xml:space="preserve">se </w:t>
      </w:r>
      <w:r w:rsidR="00B9605B">
        <w:t xml:space="preserve">of </w:t>
      </w:r>
      <w:r w:rsidR="003A7953" w:rsidRPr="00335F15">
        <w:t>vaccine development innovations to significantly reduce the global vulnerability to threats of novel pathogen outbreaks</w:t>
      </w:r>
    </w:p>
    <w:p w14:paraId="7B0A4A48" w14:textId="588A425F" w:rsidR="003A7953" w:rsidRPr="00335F15" w:rsidRDefault="006B2C57" w:rsidP="00AC0EE9">
      <w:pPr>
        <w:jc w:val="both"/>
      </w:pPr>
      <w:r>
        <w:t>-</w:t>
      </w:r>
      <w:r w:rsidR="003A7953" w:rsidRPr="00335F15">
        <w:t>Design a more robust and effective global preparedness and response building collaboration which will enable a faster response</w:t>
      </w:r>
    </w:p>
    <w:p w14:paraId="54D09C66" w14:textId="40656B3F" w:rsidR="003A7953" w:rsidRDefault="00484E7E" w:rsidP="00AC0EE9">
      <w:pPr>
        <w:jc w:val="both"/>
      </w:pPr>
      <w:r>
        <w:t>T</w:t>
      </w:r>
      <w:r w:rsidR="003A7953">
        <w:t xml:space="preserve">he Centralized Lab team </w:t>
      </w:r>
      <w:r>
        <w:t>responsibility</w:t>
      </w:r>
      <w:r w:rsidR="003A7953">
        <w:t xml:space="preserve"> is to align to the CEPI 2.0 objectives to:</w:t>
      </w:r>
    </w:p>
    <w:p w14:paraId="620CD2CA" w14:textId="3C342AF6" w:rsidR="003A7953" w:rsidRPr="00335F15" w:rsidRDefault="00484E7E" w:rsidP="00AC0EE9">
      <w:pPr>
        <w:jc w:val="both"/>
      </w:pPr>
      <w:r>
        <w:t>-</w:t>
      </w:r>
      <w:r w:rsidR="003A7953" w:rsidRPr="00335F15">
        <w:t xml:space="preserve">Create a Network of laboratories to accelerate testing of vaccines against SARS-CoV-2 and use the Network for the other CEPI priority pathogens </w:t>
      </w:r>
      <w:r w:rsidR="003A7953">
        <w:t xml:space="preserve">such as Lassa, MERS, RVF, </w:t>
      </w:r>
      <w:proofErr w:type="spellStart"/>
      <w:r w:rsidR="003A7953">
        <w:t>Nipah</w:t>
      </w:r>
      <w:proofErr w:type="spellEnd"/>
      <w:r w:rsidR="003A7953">
        <w:t xml:space="preserve"> and Chikungunya </w:t>
      </w:r>
    </w:p>
    <w:p w14:paraId="20FF7224" w14:textId="3860F024" w:rsidR="003A7953" w:rsidRPr="00335F15" w:rsidRDefault="00484E7E" w:rsidP="00AC0EE9">
      <w:pPr>
        <w:jc w:val="both"/>
      </w:pPr>
      <w:r>
        <w:lastRenderedPageBreak/>
        <w:t>-</w:t>
      </w:r>
      <w:r w:rsidR="003A7953" w:rsidRPr="00335F15">
        <w:t>Invest in innovations so vaccine testing is cheaper and faster</w:t>
      </w:r>
    </w:p>
    <w:p w14:paraId="02CA91FE" w14:textId="0DD02336" w:rsidR="003A7953" w:rsidRDefault="00484E7E" w:rsidP="00AC0EE9">
      <w:pPr>
        <w:jc w:val="both"/>
      </w:pPr>
      <w:r>
        <w:t>-</w:t>
      </w:r>
      <w:r w:rsidR="003A7953" w:rsidRPr="00335F15">
        <w:t xml:space="preserve">Build a strong, post-pandemic global network, push for collaboration and solutions which will enable a faster system-wide response, coordinating a scalable on-demand testing network and aligning with other initiatives worldwide </w:t>
      </w:r>
    </w:p>
    <w:p w14:paraId="23CFCD04" w14:textId="0EB99532" w:rsidR="003A7953" w:rsidRPr="00DC0F59" w:rsidRDefault="00484E7E" w:rsidP="00AC0EE9">
      <w:pPr>
        <w:jc w:val="both"/>
      </w:pPr>
      <w:r>
        <w:t>One</w:t>
      </w:r>
      <w:r w:rsidR="003A7953">
        <w:t xml:space="preserve"> of CEPI’s objectives is </w:t>
      </w:r>
      <w:r w:rsidR="003A7953" w:rsidRPr="002C66F6">
        <w:t>to compress vaccine development timelines to 100 days</w:t>
      </w:r>
      <w:r w:rsidR="003A7953">
        <w:t xml:space="preserve"> </w:t>
      </w:r>
      <w:r w:rsidR="003A7953" w:rsidRPr="002C66F6">
        <w:t>from pathogen characterization to clinical data for deciding emergency use</w:t>
      </w:r>
      <w:r w:rsidR="003A7953">
        <w:t xml:space="preserve">. </w:t>
      </w:r>
      <w:r w:rsidR="00540F12">
        <w:t>W</w:t>
      </w:r>
      <w:r w:rsidR="003A7953">
        <w:t>e need to work on a strategy to r</w:t>
      </w:r>
      <w:r w:rsidR="003A7953" w:rsidRPr="00BB1EA1">
        <w:t>educ</w:t>
      </w:r>
      <w:r w:rsidR="003A7953">
        <w:t>e</w:t>
      </w:r>
      <w:r w:rsidR="003A7953" w:rsidRPr="00BB1EA1">
        <w:t xml:space="preserve"> bottle necks </w:t>
      </w:r>
      <w:r w:rsidR="003A7953">
        <w:t xml:space="preserve">we are likely to encounter based on what we have learnt from experience with SARS-CoV-2 tackling issues from the release of the virus sequence, train staff and develop protocols, source </w:t>
      </w:r>
      <w:r w:rsidR="003A7953" w:rsidRPr="00DC0F59">
        <w:t xml:space="preserve">convalescent sera and scale up reagents production, the lab capacity for testing and the data handling. </w:t>
      </w:r>
      <w:r w:rsidR="00540F12" w:rsidRPr="00DC0F59">
        <w:t>W</w:t>
      </w:r>
      <w:r w:rsidR="003A7953" w:rsidRPr="00DC0F59">
        <w:t>e have exciting times ahead in which we’ll work towards expanding the CL network to include new labs, tackle new diseases, align with CEPI 2.0 objectives to be prepared for the future</w:t>
      </w:r>
      <w:r w:rsidR="001229F0" w:rsidRPr="00DC0F59">
        <w:t>.</w:t>
      </w:r>
    </w:p>
    <w:p w14:paraId="091CF564" w14:textId="1EE985AC" w:rsidR="004F17CB" w:rsidRDefault="004F17CB" w:rsidP="001B3345">
      <w:pPr>
        <w:jc w:val="both"/>
        <w:rPr>
          <w:color w:val="000000"/>
        </w:rPr>
      </w:pPr>
      <w:r w:rsidRPr="00DC0F59">
        <w:t xml:space="preserve">It was recognized that the CEPI Centralized Lab Network can set an example by using the secondary standard calibrated against the </w:t>
      </w:r>
      <w:r w:rsidRPr="00DC0F59">
        <w:rPr>
          <w:color w:val="000000"/>
        </w:rPr>
        <w:t>First WHO International Standard for anti-SARS-CoV-2 immunoglobulin and expressing the results of the neutralization assays from clinical trials in the International Units. That would make a major step forward in the comparison of the clinical data generated for various vaccine candidates.</w:t>
      </w:r>
    </w:p>
    <w:p w14:paraId="009D4F59" w14:textId="77777777" w:rsidR="004F17CB" w:rsidRDefault="004F17CB" w:rsidP="00AC0EE9">
      <w:pPr>
        <w:jc w:val="both"/>
      </w:pPr>
    </w:p>
    <w:p w14:paraId="0B25EF15" w14:textId="77777777" w:rsidR="003A7953" w:rsidRPr="003A7953" w:rsidRDefault="003A7953" w:rsidP="001229F0">
      <w:pPr>
        <w:jc w:val="both"/>
      </w:pPr>
    </w:p>
    <w:p w14:paraId="07043373" w14:textId="50C5932E" w:rsidR="007A19B8" w:rsidRPr="007A19B8" w:rsidRDefault="007A19B8" w:rsidP="007A19B8"/>
    <w:sectPr w:rsidR="007A19B8" w:rsidRPr="007A19B8">
      <w:footerReference w:type="even"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8E9141" w14:textId="77777777" w:rsidR="000B0B09" w:rsidRDefault="000B0B09" w:rsidP="00725109">
      <w:pPr>
        <w:spacing w:after="0" w:line="240" w:lineRule="auto"/>
      </w:pPr>
      <w:r>
        <w:separator/>
      </w:r>
    </w:p>
  </w:endnote>
  <w:endnote w:type="continuationSeparator" w:id="0">
    <w:p w14:paraId="56D13DCC" w14:textId="77777777" w:rsidR="000B0B09" w:rsidRDefault="000B0B09" w:rsidP="00725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erriweather Light">
    <w:altName w:val="Calibri"/>
    <w:charset w:val="00"/>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Euclid CEPI Medium">
    <w:altName w:val="Calibri"/>
    <w:charset w:val="00"/>
    <w:family w:val="swiss"/>
    <w:pitch w:val="variable"/>
    <w:sig w:usb0="A000027F" w:usb1="5000203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8196" w14:textId="241D55FD" w:rsidR="00725109" w:rsidRDefault="00725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8154493"/>
      <w:docPartObj>
        <w:docPartGallery w:val="Page Numbers (Bottom of Page)"/>
        <w:docPartUnique/>
      </w:docPartObj>
    </w:sdtPr>
    <w:sdtEndPr>
      <w:rPr>
        <w:noProof/>
      </w:rPr>
    </w:sdtEndPr>
    <w:sdtContent>
      <w:p w14:paraId="366ED24D" w14:textId="4ED22A35" w:rsidR="00C11DAE" w:rsidRDefault="00C11D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F49EEA" w14:textId="290EC380" w:rsidR="00725109" w:rsidRDefault="007251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4134" w14:textId="028FB384" w:rsidR="00725109" w:rsidRDefault="00725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7440F" w14:textId="77777777" w:rsidR="000B0B09" w:rsidRDefault="000B0B09" w:rsidP="00725109">
      <w:pPr>
        <w:spacing w:after="0" w:line="240" w:lineRule="auto"/>
      </w:pPr>
      <w:r>
        <w:separator/>
      </w:r>
    </w:p>
  </w:footnote>
  <w:footnote w:type="continuationSeparator" w:id="0">
    <w:p w14:paraId="04FA33EC" w14:textId="77777777" w:rsidR="000B0B09" w:rsidRDefault="000B0B09" w:rsidP="00725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80BCD"/>
    <w:multiLevelType w:val="hybridMultilevel"/>
    <w:tmpl w:val="1D720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F1758"/>
    <w:multiLevelType w:val="hybridMultilevel"/>
    <w:tmpl w:val="DBD40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1B7E06"/>
    <w:multiLevelType w:val="hybridMultilevel"/>
    <w:tmpl w:val="9AE8418E"/>
    <w:lvl w:ilvl="0" w:tplc="74127A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97C81"/>
    <w:multiLevelType w:val="hybridMultilevel"/>
    <w:tmpl w:val="85FEDCD4"/>
    <w:lvl w:ilvl="0" w:tplc="74127A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642BE"/>
    <w:multiLevelType w:val="hybridMultilevel"/>
    <w:tmpl w:val="5C7E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7D653F"/>
    <w:multiLevelType w:val="hybridMultilevel"/>
    <w:tmpl w:val="DCEC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E2781A"/>
    <w:multiLevelType w:val="hybridMultilevel"/>
    <w:tmpl w:val="B39636D0"/>
    <w:lvl w:ilvl="0" w:tplc="04140001">
      <w:start w:val="1"/>
      <w:numFmt w:val="bullet"/>
      <w:lvlText w:val=""/>
      <w:lvlJc w:val="left"/>
      <w:pPr>
        <w:ind w:left="1080" w:hanging="360"/>
      </w:pPr>
      <w:rPr>
        <w:rFonts w:ascii="Symbol" w:hAnsi="Symbol" w:hint="default"/>
      </w:rPr>
    </w:lvl>
    <w:lvl w:ilvl="1" w:tplc="FFFFFFFF">
      <w:start w:val="1"/>
      <w:numFmt w:val="bullet"/>
      <w:lvlText w:val="o"/>
      <w:lvlJc w:val="left"/>
      <w:pPr>
        <w:ind w:left="1800" w:hanging="360"/>
      </w:pPr>
      <w:rPr>
        <w:rFonts w:ascii="Courier New" w:hAnsi="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35357636"/>
    <w:multiLevelType w:val="hybridMultilevel"/>
    <w:tmpl w:val="C6BA8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E56868"/>
    <w:multiLevelType w:val="hybridMultilevel"/>
    <w:tmpl w:val="7966D77A"/>
    <w:lvl w:ilvl="0" w:tplc="112C0208">
      <w:start w:val="1"/>
      <w:numFmt w:val="bullet"/>
      <w:lvlText w:val="•"/>
      <w:lvlJc w:val="left"/>
      <w:pPr>
        <w:tabs>
          <w:tab w:val="num" w:pos="720"/>
        </w:tabs>
        <w:ind w:left="720" w:hanging="360"/>
      </w:pPr>
      <w:rPr>
        <w:rFonts w:ascii="Arial" w:hAnsi="Arial" w:hint="default"/>
      </w:rPr>
    </w:lvl>
    <w:lvl w:ilvl="1" w:tplc="5E7C59DE" w:tentative="1">
      <w:start w:val="1"/>
      <w:numFmt w:val="bullet"/>
      <w:lvlText w:val="•"/>
      <w:lvlJc w:val="left"/>
      <w:pPr>
        <w:tabs>
          <w:tab w:val="num" w:pos="1440"/>
        </w:tabs>
        <w:ind w:left="1440" w:hanging="360"/>
      </w:pPr>
      <w:rPr>
        <w:rFonts w:ascii="Arial" w:hAnsi="Arial" w:hint="default"/>
      </w:rPr>
    </w:lvl>
    <w:lvl w:ilvl="2" w:tplc="ECE21DC6" w:tentative="1">
      <w:start w:val="1"/>
      <w:numFmt w:val="bullet"/>
      <w:lvlText w:val="•"/>
      <w:lvlJc w:val="left"/>
      <w:pPr>
        <w:tabs>
          <w:tab w:val="num" w:pos="2160"/>
        </w:tabs>
        <w:ind w:left="2160" w:hanging="360"/>
      </w:pPr>
      <w:rPr>
        <w:rFonts w:ascii="Arial" w:hAnsi="Arial" w:hint="default"/>
      </w:rPr>
    </w:lvl>
    <w:lvl w:ilvl="3" w:tplc="A9D83B2E" w:tentative="1">
      <w:start w:val="1"/>
      <w:numFmt w:val="bullet"/>
      <w:lvlText w:val="•"/>
      <w:lvlJc w:val="left"/>
      <w:pPr>
        <w:tabs>
          <w:tab w:val="num" w:pos="2880"/>
        </w:tabs>
        <w:ind w:left="2880" w:hanging="360"/>
      </w:pPr>
      <w:rPr>
        <w:rFonts w:ascii="Arial" w:hAnsi="Arial" w:hint="default"/>
      </w:rPr>
    </w:lvl>
    <w:lvl w:ilvl="4" w:tplc="CDAA9FFA" w:tentative="1">
      <w:start w:val="1"/>
      <w:numFmt w:val="bullet"/>
      <w:lvlText w:val="•"/>
      <w:lvlJc w:val="left"/>
      <w:pPr>
        <w:tabs>
          <w:tab w:val="num" w:pos="3600"/>
        </w:tabs>
        <w:ind w:left="3600" w:hanging="360"/>
      </w:pPr>
      <w:rPr>
        <w:rFonts w:ascii="Arial" w:hAnsi="Arial" w:hint="default"/>
      </w:rPr>
    </w:lvl>
    <w:lvl w:ilvl="5" w:tplc="C9347770" w:tentative="1">
      <w:start w:val="1"/>
      <w:numFmt w:val="bullet"/>
      <w:lvlText w:val="•"/>
      <w:lvlJc w:val="left"/>
      <w:pPr>
        <w:tabs>
          <w:tab w:val="num" w:pos="4320"/>
        </w:tabs>
        <w:ind w:left="4320" w:hanging="360"/>
      </w:pPr>
      <w:rPr>
        <w:rFonts w:ascii="Arial" w:hAnsi="Arial" w:hint="default"/>
      </w:rPr>
    </w:lvl>
    <w:lvl w:ilvl="6" w:tplc="6A9A2902" w:tentative="1">
      <w:start w:val="1"/>
      <w:numFmt w:val="bullet"/>
      <w:lvlText w:val="•"/>
      <w:lvlJc w:val="left"/>
      <w:pPr>
        <w:tabs>
          <w:tab w:val="num" w:pos="5040"/>
        </w:tabs>
        <w:ind w:left="5040" w:hanging="360"/>
      </w:pPr>
      <w:rPr>
        <w:rFonts w:ascii="Arial" w:hAnsi="Arial" w:hint="default"/>
      </w:rPr>
    </w:lvl>
    <w:lvl w:ilvl="7" w:tplc="8E689B8C" w:tentative="1">
      <w:start w:val="1"/>
      <w:numFmt w:val="bullet"/>
      <w:lvlText w:val="•"/>
      <w:lvlJc w:val="left"/>
      <w:pPr>
        <w:tabs>
          <w:tab w:val="num" w:pos="5760"/>
        </w:tabs>
        <w:ind w:left="5760" w:hanging="360"/>
      </w:pPr>
      <w:rPr>
        <w:rFonts w:ascii="Arial" w:hAnsi="Arial" w:hint="default"/>
      </w:rPr>
    </w:lvl>
    <w:lvl w:ilvl="8" w:tplc="D466F7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B9C1BD1"/>
    <w:multiLevelType w:val="hybridMultilevel"/>
    <w:tmpl w:val="0D606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871F95"/>
    <w:multiLevelType w:val="hybridMultilevel"/>
    <w:tmpl w:val="DAAA2966"/>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415B1238"/>
    <w:multiLevelType w:val="hybridMultilevel"/>
    <w:tmpl w:val="D5A478BC"/>
    <w:lvl w:ilvl="0" w:tplc="78A4C8E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70353"/>
    <w:multiLevelType w:val="hybridMultilevel"/>
    <w:tmpl w:val="E6BC4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A24BF5"/>
    <w:multiLevelType w:val="hybridMultilevel"/>
    <w:tmpl w:val="6CB4BDC8"/>
    <w:lvl w:ilvl="0" w:tplc="FFFFFFFF">
      <w:start w:val="1"/>
      <w:numFmt w:val="bullet"/>
      <w:lvlText w:val=""/>
      <w:lvlJc w:val="left"/>
      <w:pPr>
        <w:ind w:left="1068" w:hanging="360"/>
      </w:pPr>
      <w:rPr>
        <w:rFonts w:ascii="Symbol" w:hAnsi="Symbol" w:hint="default"/>
        <w:sz w:val="18"/>
        <w:szCs w:val="18"/>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4" w15:restartNumberingAfterBreak="0">
    <w:nsid w:val="67C30312"/>
    <w:multiLevelType w:val="hybridMultilevel"/>
    <w:tmpl w:val="FC9A30DC"/>
    <w:lvl w:ilvl="0" w:tplc="04090011">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893266F"/>
    <w:multiLevelType w:val="hybridMultilevel"/>
    <w:tmpl w:val="41B07E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C078E"/>
    <w:multiLevelType w:val="hybridMultilevel"/>
    <w:tmpl w:val="26841A1A"/>
    <w:lvl w:ilvl="0" w:tplc="D436CAEC">
      <w:start w:val="1"/>
      <w:numFmt w:val="bullet"/>
      <w:lvlText w:val="•"/>
      <w:lvlJc w:val="left"/>
      <w:pPr>
        <w:tabs>
          <w:tab w:val="num" w:pos="720"/>
        </w:tabs>
        <w:ind w:left="720" w:hanging="360"/>
      </w:pPr>
      <w:rPr>
        <w:rFonts w:ascii="Arial" w:hAnsi="Arial" w:hint="default"/>
      </w:rPr>
    </w:lvl>
    <w:lvl w:ilvl="1" w:tplc="4CCEDC48" w:tentative="1">
      <w:start w:val="1"/>
      <w:numFmt w:val="bullet"/>
      <w:lvlText w:val="•"/>
      <w:lvlJc w:val="left"/>
      <w:pPr>
        <w:tabs>
          <w:tab w:val="num" w:pos="1440"/>
        </w:tabs>
        <w:ind w:left="1440" w:hanging="360"/>
      </w:pPr>
      <w:rPr>
        <w:rFonts w:ascii="Arial" w:hAnsi="Arial" w:hint="default"/>
      </w:rPr>
    </w:lvl>
    <w:lvl w:ilvl="2" w:tplc="5E0440DE" w:tentative="1">
      <w:start w:val="1"/>
      <w:numFmt w:val="bullet"/>
      <w:lvlText w:val="•"/>
      <w:lvlJc w:val="left"/>
      <w:pPr>
        <w:tabs>
          <w:tab w:val="num" w:pos="2160"/>
        </w:tabs>
        <w:ind w:left="2160" w:hanging="360"/>
      </w:pPr>
      <w:rPr>
        <w:rFonts w:ascii="Arial" w:hAnsi="Arial" w:hint="default"/>
      </w:rPr>
    </w:lvl>
    <w:lvl w:ilvl="3" w:tplc="0D48EBFE" w:tentative="1">
      <w:start w:val="1"/>
      <w:numFmt w:val="bullet"/>
      <w:lvlText w:val="•"/>
      <w:lvlJc w:val="left"/>
      <w:pPr>
        <w:tabs>
          <w:tab w:val="num" w:pos="2880"/>
        </w:tabs>
        <w:ind w:left="2880" w:hanging="360"/>
      </w:pPr>
      <w:rPr>
        <w:rFonts w:ascii="Arial" w:hAnsi="Arial" w:hint="default"/>
      </w:rPr>
    </w:lvl>
    <w:lvl w:ilvl="4" w:tplc="000E5F40" w:tentative="1">
      <w:start w:val="1"/>
      <w:numFmt w:val="bullet"/>
      <w:lvlText w:val="•"/>
      <w:lvlJc w:val="left"/>
      <w:pPr>
        <w:tabs>
          <w:tab w:val="num" w:pos="3600"/>
        </w:tabs>
        <w:ind w:left="3600" w:hanging="360"/>
      </w:pPr>
      <w:rPr>
        <w:rFonts w:ascii="Arial" w:hAnsi="Arial" w:hint="default"/>
      </w:rPr>
    </w:lvl>
    <w:lvl w:ilvl="5" w:tplc="769E1652" w:tentative="1">
      <w:start w:val="1"/>
      <w:numFmt w:val="bullet"/>
      <w:lvlText w:val="•"/>
      <w:lvlJc w:val="left"/>
      <w:pPr>
        <w:tabs>
          <w:tab w:val="num" w:pos="4320"/>
        </w:tabs>
        <w:ind w:left="4320" w:hanging="360"/>
      </w:pPr>
      <w:rPr>
        <w:rFonts w:ascii="Arial" w:hAnsi="Arial" w:hint="default"/>
      </w:rPr>
    </w:lvl>
    <w:lvl w:ilvl="6" w:tplc="A106CE50" w:tentative="1">
      <w:start w:val="1"/>
      <w:numFmt w:val="bullet"/>
      <w:lvlText w:val="•"/>
      <w:lvlJc w:val="left"/>
      <w:pPr>
        <w:tabs>
          <w:tab w:val="num" w:pos="5040"/>
        </w:tabs>
        <w:ind w:left="5040" w:hanging="360"/>
      </w:pPr>
      <w:rPr>
        <w:rFonts w:ascii="Arial" w:hAnsi="Arial" w:hint="default"/>
      </w:rPr>
    </w:lvl>
    <w:lvl w:ilvl="7" w:tplc="6896D194" w:tentative="1">
      <w:start w:val="1"/>
      <w:numFmt w:val="bullet"/>
      <w:lvlText w:val="•"/>
      <w:lvlJc w:val="left"/>
      <w:pPr>
        <w:tabs>
          <w:tab w:val="num" w:pos="5760"/>
        </w:tabs>
        <w:ind w:left="5760" w:hanging="360"/>
      </w:pPr>
      <w:rPr>
        <w:rFonts w:ascii="Arial" w:hAnsi="Arial" w:hint="default"/>
      </w:rPr>
    </w:lvl>
    <w:lvl w:ilvl="8" w:tplc="D1B0D99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F514346"/>
    <w:multiLevelType w:val="hybridMultilevel"/>
    <w:tmpl w:val="35AC714E"/>
    <w:lvl w:ilvl="0" w:tplc="49EC4ECA">
      <w:start w:val="1"/>
      <w:numFmt w:val="bullet"/>
      <w:lvlText w:val="•"/>
      <w:lvlJc w:val="left"/>
      <w:pPr>
        <w:tabs>
          <w:tab w:val="num" w:pos="720"/>
        </w:tabs>
        <w:ind w:left="720" w:hanging="360"/>
      </w:pPr>
      <w:rPr>
        <w:rFonts w:ascii="Arial" w:hAnsi="Arial" w:hint="default"/>
      </w:rPr>
    </w:lvl>
    <w:lvl w:ilvl="1" w:tplc="15129C56" w:tentative="1">
      <w:start w:val="1"/>
      <w:numFmt w:val="bullet"/>
      <w:lvlText w:val="•"/>
      <w:lvlJc w:val="left"/>
      <w:pPr>
        <w:tabs>
          <w:tab w:val="num" w:pos="1440"/>
        </w:tabs>
        <w:ind w:left="1440" w:hanging="360"/>
      </w:pPr>
      <w:rPr>
        <w:rFonts w:ascii="Arial" w:hAnsi="Arial" w:hint="default"/>
      </w:rPr>
    </w:lvl>
    <w:lvl w:ilvl="2" w:tplc="409AE2E6" w:tentative="1">
      <w:start w:val="1"/>
      <w:numFmt w:val="bullet"/>
      <w:lvlText w:val="•"/>
      <w:lvlJc w:val="left"/>
      <w:pPr>
        <w:tabs>
          <w:tab w:val="num" w:pos="2160"/>
        </w:tabs>
        <w:ind w:left="2160" w:hanging="360"/>
      </w:pPr>
      <w:rPr>
        <w:rFonts w:ascii="Arial" w:hAnsi="Arial" w:hint="default"/>
      </w:rPr>
    </w:lvl>
    <w:lvl w:ilvl="3" w:tplc="2E24991C" w:tentative="1">
      <w:start w:val="1"/>
      <w:numFmt w:val="bullet"/>
      <w:lvlText w:val="•"/>
      <w:lvlJc w:val="left"/>
      <w:pPr>
        <w:tabs>
          <w:tab w:val="num" w:pos="2880"/>
        </w:tabs>
        <w:ind w:left="2880" w:hanging="360"/>
      </w:pPr>
      <w:rPr>
        <w:rFonts w:ascii="Arial" w:hAnsi="Arial" w:hint="default"/>
      </w:rPr>
    </w:lvl>
    <w:lvl w:ilvl="4" w:tplc="416E8F8E" w:tentative="1">
      <w:start w:val="1"/>
      <w:numFmt w:val="bullet"/>
      <w:lvlText w:val="•"/>
      <w:lvlJc w:val="left"/>
      <w:pPr>
        <w:tabs>
          <w:tab w:val="num" w:pos="3600"/>
        </w:tabs>
        <w:ind w:left="3600" w:hanging="360"/>
      </w:pPr>
      <w:rPr>
        <w:rFonts w:ascii="Arial" w:hAnsi="Arial" w:hint="default"/>
      </w:rPr>
    </w:lvl>
    <w:lvl w:ilvl="5" w:tplc="CD0A8A54" w:tentative="1">
      <w:start w:val="1"/>
      <w:numFmt w:val="bullet"/>
      <w:lvlText w:val="•"/>
      <w:lvlJc w:val="left"/>
      <w:pPr>
        <w:tabs>
          <w:tab w:val="num" w:pos="4320"/>
        </w:tabs>
        <w:ind w:left="4320" w:hanging="360"/>
      </w:pPr>
      <w:rPr>
        <w:rFonts w:ascii="Arial" w:hAnsi="Arial" w:hint="default"/>
      </w:rPr>
    </w:lvl>
    <w:lvl w:ilvl="6" w:tplc="367A638E" w:tentative="1">
      <w:start w:val="1"/>
      <w:numFmt w:val="bullet"/>
      <w:lvlText w:val="•"/>
      <w:lvlJc w:val="left"/>
      <w:pPr>
        <w:tabs>
          <w:tab w:val="num" w:pos="5040"/>
        </w:tabs>
        <w:ind w:left="5040" w:hanging="360"/>
      </w:pPr>
      <w:rPr>
        <w:rFonts w:ascii="Arial" w:hAnsi="Arial" w:hint="default"/>
      </w:rPr>
    </w:lvl>
    <w:lvl w:ilvl="7" w:tplc="95E27C72" w:tentative="1">
      <w:start w:val="1"/>
      <w:numFmt w:val="bullet"/>
      <w:lvlText w:val="•"/>
      <w:lvlJc w:val="left"/>
      <w:pPr>
        <w:tabs>
          <w:tab w:val="num" w:pos="5760"/>
        </w:tabs>
        <w:ind w:left="5760" w:hanging="360"/>
      </w:pPr>
      <w:rPr>
        <w:rFonts w:ascii="Arial" w:hAnsi="Arial" w:hint="default"/>
      </w:rPr>
    </w:lvl>
    <w:lvl w:ilvl="8" w:tplc="AE489AB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2185E14"/>
    <w:multiLevelType w:val="hybridMultilevel"/>
    <w:tmpl w:val="AF086BC8"/>
    <w:lvl w:ilvl="0" w:tplc="27961B84">
      <w:start w:val="1"/>
      <w:numFmt w:val="bullet"/>
      <w:pStyle w:val="ListParagraph"/>
      <w:lvlText w:val=""/>
      <w:lvlJc w:val="left"/>
      <w:pPr>
        <w:ind w:left="360" w:hanging="360"/>
      </w:pPr>
      <w:rPr>
        <w:rFonts w:ascii="Symbol" w:hAnsi="Symbol" w:hint="default"/>
        <w:color w:val="00244E"/>
        <w:sz w:val="18"/>
        <w:szCs w:val="18"/>
        <w:u w:color="FF5F57"/>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8C7136"/>
    <w:multiLevelType w:val="hybridMultilevel"/>
    <w:tmpl w:val="2E5A91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6"/>
  </w:num>
  <w:num w:numId="3">
    <w:abstractNumId w:val="13"/>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0"/>
  </w:num>
  <w:num w:numId="8">
    <w:abstractNumId w:val="17"/>
  </w:num>
  <w:num w:numId="9">
    <w:abstractNumId w:val="10"/>
  </w:num>
  <w:num w:numId="10">
    <w:abstractNumId w:val="15"/>
  </w:num>
  <w:num w:numId="11">
    <w:abstractNumId w:val="16"/>
  </w:num>
  <w:num w:numId="12">
    <w:abstractNumId w:val="8"/>
  </w:num>
  <w:num w:numId="13">
    <w:abstractNumId w:val="14"/>
  </w:num>
  <w:num w:numId="14">
    <w:abstractNumId w:val="18"/>
  </w:num>
  <w:num w:numId="15">
    <w:abstractNumId w:val="18"/>
  </w:num>
  <w:num w:numId="16">
    <w:abstractNumId w:val="4"/>
  </w:num>
  <w:num w:numId="17">
    <w:abstractNumId w:val="11"/>
  </w:num>
  <w:num w:numId="18">
    <w:abstractNumId w:val="5"/>
  </w:num>
  <w:num w:numId="19">
    <w:abstractNumId w:val="19"/>
  </w:num>
  <w:num w:numId="20">
    <w:abstractNumId w:val="9"/>
  </w:num>
  <w:num w:numId="21">
    <w:abstractNumId w:val="7"/>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09"/>
    <w:rsid w:val="00022B60"/>
    <w:rsid w:val="00053FE6"/>
    <w:rsid w:val="000816E4"/>
    <w:rsid w:val="000B0B09"/>
    <w:rsid w:val="000E312B"/>
    <w:rsid w:val="001229F0"/>
    <w:rsid w:val="00122DE8"/>
    <w:rsid w:val="00126084"/>
    <w:rsid w:val="00172643"/>
    <w:rsid w:val="00190B96"/>
    <w:rsid w:val="001A403F"/>
    <w:rsid w:val="001B3345"/>
    <w:rsid w:val="001E4E1C"/>
    <w:rsid w:val="00282777"/>
    <w:rsid w:val="0029593D"/>
    <w:rsid w:val="00335C4F"/>
    <w:rsid w:val="00363ACF"/>
    <w:rsid w:val="003A7953"/>
    <w:rsid w:val="003D48CA"/>
    <w:rsid w:val="003D7AD1"/>
    <w:rsid w:val="004257AE"/>
    <w:rsid w:val="00436F40"/>
    <w:rsid w:val="004750CD"/>
    <w:rsid w:val="00484E7E"/>
    <w:rsid w:val="00485D07"/>
    <w:rsid w:val="004F17CB"/>
    <w:rsid w:val="004F1EA6"/>
    <w:rsid w:val="00516F14"/>
    <w:rsid w:val="00535E88"/>
    <w:rsid w:val="00540F12"/>
    <w:rsid w:val="0057016B"/>
    <w:rsid w:val="005B49CB"/>
    <w:rsid w:val="005C2BDA"/>
    <w:rsid w:val="006B19AC"/>
    <w:rsid w:val="006B2C57"/>
    <w:rsid w:val="006E5FBB"/>
    <w:rsid w:val="006F6D43"/>
    <w:rsid w:val="00700FED"/>
    <w:rsid w:val="00725109"/>
    <w:rsid w:val="007269F8"/>
    <w:rsid w:val="00726EDF"/>
    <w:rsid w:val="0075739B"/>
    <w:rsid w:val="0075782F"/>
    <w:rsid w:val="0079677C"/>
    <w:rsid w:val="007A19B8"/>
    <w:rsid w:val="007C1FE4"/>
    <w:rsid w:val="0084777F"/>
    <w:rsid w:val="00867D37"/>
    <w:rsid w:val="008B5810"/>
    <w:rsid w:val="008E7E9A"/>
    <w:rsid w:val="00904AFE"/>
    <w:rsid w:val="009F5A35"/>
    <w:rsid w:val="00A20A8B"/>
    <w:rsid w:val="00A70ECF"/>
    <w:rsid w:val="00A9010C"/>
    <w:rsid w:val="00AC0EE9"/>
    <w:rsid w:val="00AF1E4B"/>
    <w:rsid w:val="00B23463"/>
    <w:rsid w:val="00B330BE"/>
    <w:rsid w:val="00B9605B"/>
    <w:rsid w:val="00BA0A8A"/>
    <w:rsid w:val="00BB5EE9"/>
    <w:rsid w:val="00BB6B63"/>
    <w:rsid w:val="00BE14ED"/>
    <w:rsid w:val="00BF6921"/>
    <w:rsid w:val="00C023D1"/>
    <w:rsid w:val="00C11DAE"/>
    <w:rsid w:val="00C616B8"/>
    <w:rsid w:val="00CD6820"/>
    <w:rsid w:val="00D02429"/>
    <w:rsid w:val="00D14E70"/>
    <w:rsid w:val="00D35E9C"/>
    <w:rsid w:val="00D43353"/>
    <w:rsid w:val="00DA1F1D"/>
    <w:rsid w:val="00DB0AFF"/>
    <w:rsid w:val="00DB6D68"/>
    <w:rsid w:val="00DC0F59"/>
    <w:rsid w:val="00E53AEF"/>
    <w:rsid w:val="00E812F9"/>
    <w:rsid w:val="00EE2A89"/>
    <w:rsid w:val="00F273C0"/>
    <w:rsid w:val="00F62570"/>
    <w:rsid w:val="00FD380D"/>
    <w:rsid w:val="3C71C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9242"/>
  <w15:chartTrackingRefBased/>
  <w15:docId w15:val="{6A59EAE7-0DB7-43C9-A2D5-6FD2E6A4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48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109"/>
  </w:style>
  <w:style w:type="paragraph" w:styleId="Footer">
    <w:name w:val="footer"/>
    <w:basedOn w:val="Normal"/>
    <w:link w:val="FooterChar"/>
    <w:uiPriority w:val="99"/>
    <w:unhideWhenUsed/>
    <w:rsid w:val="00725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109"/>
  </w:style>
  <w:style w:type="paragraph" w:styleId="ListParagraph">
    <w:name w:val="List Paragraph"/>
    <w:basedOn w:val="Normal"/>
    <w:uiPriority w:val="34"/>
    <w:qFormat/>
    <w:rsid w:val="00725109"/>
    <w:pPr>
      <w:numPr>
        <w:numId w:val="1"/>
      </w:numPr>
      <w:spacing w:after="0" w:line="276" w:lineRule="auto"/>
      <w:contextualSpacing/>
    </w:pPr>
    <w:rPr>
      <w:rFonts w:ascii="Merriweather Light" w:eastAsia="MS Mincho" w:hAnsi="Merriweather Light"/>
      <w:color w:val="00244F"/>
      <w:kern w:val="20"/>
      <w:sz w:val="18"/>
      <w:szCs w:val="18"/>
      <w:lang w:val="en-GB" w:eastAsia="ja-JP"/>
    </w:rPr>
  </w:style>
  <w:style w:type="paragraph" w:styleId="NoSpacing">
    <w:name w:val="No Spacing"/>
    <w:uiPriority w:val="1"/>
    <w:qFormat/>
    <w:rsid w:val="003D48CA"/>
    <w:pPr>
      <w:spacing w:after="0" w:line="240" w:lineRule="auto"/>
    </w:pPr>
  </w:style>
  <w:style w:type="character" w:customStyle="1" w:styleId="Heading1Char">
    <w:name w:val="Heading 1 Char"/>
    <w:basedOn w:val="DefaultParagraphFont"/>
    <w:link w:val="Heading1"/>
    <w:uiPriority w:val="9"/>
    <w:rsid w:val="003D48C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D380D"/>
    <w:rPr>
      <w:color w:val="085296"/>
      <w:u w:val="single"/>
    </w:rPr>
  </w:style>
  <w:style w:type="paragraph" w:styleId="BalloonText">
    <w:name w:val="Balloon Text"/>
    <w:basedOn w:val="Normal"/>
    <w:link w:val="BalloonTextChar"/>
    <w:uiPriority w:val="99"/>
    <w:semiHidden/>
    <w:unhideWhenUsed/>
    <w:rsid w:val="00A20A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8B"/>
    <w:rPr>
      <w:rFonts w:ascii="Segoe UI" w:hAnsi="Segoe UI" w:cs="Segoe UI"/>
      <w:sz w:val="18"/>
      <w:szCs w:val="18"/>
    </w:rPr>
  </w:style>
  <w:style w:type="character" w:styleId="CommentReference">
    <w:name w:val="annotation reference"/>
    <w:basedOn w:val="DefaultParagraphFont"/>
    <w:uiPriority w:val="99"/>
    <w:semiHidden/>
    <w:unhideWhenUsed/>
    <w:rsid w:val="00A20A8B"/>
    <w:rPr>
      <w:sz w:val="16"/>
      <w:szCs w:val="16"/>
    </w:rPr>
  </w:style>
  <w:style w:type="paragraph" w:styleId="CommentText">
    <w:name w:val="annotation text"/>
    <w:basedOn w:val="Normal"/>
    <w:link w:val="CommentTextChar"/>
    <w:uiPriority w:val="99"/>
    <w:semiHidden/>
    <w:unhideWhenUsed/>
    <w:rsid w:val="00A20A8B"/>
    <w:pPr>
      <w:spacing w:line="240" w:lineRule="auto"/>
    </w:pPr>
    <w:rPr>
      <w:sz w:val="20"/>
      <w:szCs w:val="20"/>
    </w:rPr>
  </w:style>
  <w:style w:type="character" w:customStyle="1" w:styleId="CommentTextChar">
    <w:name w:val="Comment Text Char"/>
    <w:basedOn w:val="DefaultParagraphFont"/>
    <w:link w:val="CommentText"/>
    <w:uiPriority w:val="99"/>
    <w:semiHidden/>
    <w:rsid w:val="00A20A8B"/>
    <w:rPr>
      <w:sz w:val="20"/>
      <w:szCs w:val="20"/>
    </w:rPr>
  </w:style>
  <w:style w:type="paragraph" w:styleId="CommentSubject">
    <w:name w:val="annotation subject"/>
    <w:basedOn w:val="CommentText"/>
    <w:next w:val="CommentText"/>
    <w:link w:val="CommentSubjectChar"/>
    <w:uiPriority w:val="99"/>
    <w:semiHidden/>
    <w:unhideWhenUsed/>
    <w:rsid w:val="00A20A8B"/>
    <w:rPr>
      <w:b/>
      <w:bCs/>
    </w:rPr>
  </w:style>
  <w:style w:type="character" w:customStyle="1" w:styleId="CommentSubjectChar">
    <w:name w:val="Comment Subject Char"/>
    <w:basedOn w:val="CommentTextChar"/>
    <w:link w:val="CommentSubject"/>
    <w:uiPriority w:val="99"/>
    <w:semiHidden/>
    <w:rsid w:val="00A20A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2021">
      <w:bodyDiv w:val="1"/>
      <w:marLeft w:val="0"/>
      <w:marRight w:val="0"/>
      <w:marTop w:val="0"/>
      <w:marBottom w:val="0"/>
      <w:divBdr>
        <w:top w:val="none" w:sz="0" w:space="0" w:color="auto"/>
        <w:left w:val="none" w:sz="0" w:space="0" w:color="auto"/>
        <w:bottom w:val="none" w:sz="0" w:space="0" w:color="auto"/>
        <w:right w:val="none" w:sz="0" w:space="0" w:color="auto"/>
      </w:divBdr>
      <w:divsChild>
        <w:div w:id="586882330">
          <w:marLeft w:val="360"/>
          <w:marRight w:val="0"/>
          <w:marTop w:val="200"/>
          <w:marBottom w:val="0"/>
          <w:divBdr>
            <w:top w:val="none" w:sz="0" w:space="0" w:color="auto"/>
            <w:left w:val="none" w:sz="0" w:space="0" w:color="auto"/>
            <w:bottom w:val="none" w:sz="0" w:space="0" w:color="auto"/>
            <w:right w:val="none" w:sz="0" w:space="0" w:color="auto"/>
          </w:divBdr>
        </w:div>
        <w:div w:id="1700665500">
          <w:marLeft w:val="360"/>
          <w:marRight w:val="0"/>
          <w:marTop w:val="200"/>
          <w:marBottom w:val="0"/>
          <w:divBdr>
            <w:top w:val="none" w:sz="0" w:space="0" w:color="auto"/>
            <w:left w:val="none" w:sz="0" w:space="0" w:color="auto"/>
            <w:bottom w:val="none" w:sz="0" w:space="0" w:color="auto"/>
            <w:right w:val="none" w:sz="0" w:space="0" w:color="auto"/>
          </w:divBdr>
        </w:div>
        <w:div w:id="352416218">
          <w:marLeft w:val="360"/>
          <w:marRight w:val="0"/>
          <w:marTop w:val="200"/>
          <w:marBottom w:val="0"/>
          <w:divBdr>
            <w:top w:val="none" w:sz="0" w:space="0" w:color="auto"/>
            <w:left w:val="none" w:sz="0" w:space="0" w:color="auto"/>
            <w:bottom w:val="none" w:sz="0" w:space="0" w:color="auto"/>
            <w:right w:val="none" w:sz="0" w:space="0" w:color="auto"/>
          </w:divBdr>
        </w:div>
        <w:div w:id="70003924">
          <w:marLeft w:val="360"/>
          <w:marRight w:val="0"/>
          <w:marTop w:val="200"/>
          <w:marBottom w:val="0"/>
          <w:divBdr>
            <w:top w:val="none" w:sz="0" w:space="0" w:color="auto"/>
            <w:left w:val="none" w:sz="0" w:space="0" w:color="auto"/>
            <w:bottom w:val="none" w:sz="0" w:space="0" w:color="auto"/>
            <w:right w:val="none" w:sz="0" w:space="0" w:color="auto"/>
          </w:divBdr>
        </w:div>
        <w:div w:id="1897889154">
          <w:marLeft w:val="360"/>
          <w:marRight w:val="0"/>
          <w:marTop w:val="200"/>
          <w:marBottom w:val="0"/>
          <w:divBdr>
            <w:top w:val="none" w:sz="0" w:space="0" w:color="auto"/>
            <w:left w:val="none" w:sz="0" w:space="0" w:color="auto"/>
            <w:bottom w:val="none" w:sz="0" w:space="0" w:color="auto"/>
            <w:right w:val="none" w:sz="0" w:space="0" w:color="auto"/>
          </w:divBdr>
        </w:div>
        <w:div w:id="1094017164">
          <w:marLeft w:val="360"/>
          <w:marRight w:val="0"/>
          <w:marTop w:val="200"/>
          <w:marBottom w:val="0"/>
          <w:divBdr>
            <w:top w:val="none" w:sz="0" w:space="0" w:color="auto"/>
            <w:left w:val="none" w:sz="0" w:space="0" w:color="auto"/>
            <w:bottom w:val="none" w:sz="0" w:space="0" w:color="auto"/>
            <w:right w:val="none" w:sz="0" w:space="0" w:color="auto"/>
          </w:divBdr>
        </w:div>
        <w:div w:id="2001469997">
          <w:marLeft w:val="360"/>
          <w:marRight w:val="0"/>
          <w:marTop w:val="200"/>
          <w:marBottom w:val="0"/>
          <w:divBdr>
            <w:top w:val="none" w:sz="0" w:space="0" w:color="auto"/>
            <w:left w:val="none" w:sz="0" w:space="0" w:color="auto"/>
            <w:bottom w:val="none" w:sz="0" w:space="0" w:color="auto"/>
            <w:right w:val="none" w:sz="0" w:space="0" w:color="auto"/>
          </w:divBdr>
        </w:div>
        <w:div w:id="1935481058">
          <w:marLeft w:val="360"/>
          <w:marRight w:val="0"/>
          <w:marTop w:val="200"/>
          <w:marBottom w:val="0"/>
          <w:divBdr>
            <w:top w:val="none" w:sz="0" w:space="0" w:color="auto"/>
            <w:left w:val="none" w:sz="0" w:space="0" w:color="auto"/>
            <w:bottom w:val="none" w:sz="0" w:space="0" w:color="auto"/>
            <w:right w:val="none" w:sz="0" w:space="0" w:color="auto"/>
          </w:divBdr>
        </w:div>
        <w:div w:id="403643696">
          <w:marLeft w:val="360"/>
          <w:marRight w:val="0"/>
          <w:marTop w:val="200"/>
          <w:marBottom w:val="0"/>
          <w:divBdr>
            <w:top w:val="none" w:sz="0" w:space="0" w:color="auto"/>
            <w:left w:val="none" w:sz="0" w:space="0" w:color="auto"/>
            <w:bottom w:val="none" w:sz="0" w:space="0" w:color="auto"/>
            <w:right w:val="none" w:sz="0" w:space="0" w:color="auto"/>
          </w:divBdr>
        </w:div>
        <w:div w:id="177744817">
          <w:marLeft w:val="360"/>
          <w:marRight w:val="0"/>
          <w:marTop w:val="200"/>
          <w:marBottom w:val="0"/>
          <w:divBdr>
            <w:top w:val="none" w:sz="0" w:space="0" w:color="auto"/>
            <w:left w:val="none" w:sz="0" w:space="0" w:color="auto"/>
            <w:bottom w:val="none" w:sz="0" w:space="0" w:color="auto"/>
            <w:right w:val="none" w:sz="0" w:space="0" w:color="auto"/>
          </w:divBdr>
        </w:div>
        <w:div w:id="744379626">
          <w:marLeft w:val="360"/>
          <w:marRight w:val="0"/>
          <w:marTop w:val="200"/>
          <w:marBottom w:val="0"/>
          <w:divBdr>
            <w:top w:val="none" w:sz="0" w:space="0" w:color="auto"/>
            <w:left w:val="none" w:sz="0" w:space="0" w:color="auto"/>
            <w:bottom w:val="none" w:sz="0" w:space="0" w:color="auto"/>
            <w:right w:val="none" w:sz="0" w:space="0" w:color="auto"/>
          </w:divBdr>
        </w:div>
        <w:div w:id="1043168835">
          <w:marLeft w:val="360"/>
          <w:marRight w:val="0"/>
          <w:marTop w:val="200"/>
          <w:marBottom w:val="0"/>
          <w:divBdr>
            <w:top w:val="none" w:sz="0" w:space="0" w:color="auto"/>
            <w:left w:val="none" w:sz="0" w:space="0" w:color="auto"/>
            <w:bottom w:val="none" w:sz="0" w:space="0" w:color="auto"/>
            <w:right w:val="none" w:sz="0" w:space="0" w:color="auto"/>
          </w:divBdr>
        </w:div>
      </w:divsChild>
    </w:div>
    <w:div w:id="532226376">
      <w:bodyDiv w:val="1"/>
      <w:marLeft w:val="0"/>
      <w:marRight w:val="0"/>
      <w:marTop w:val="0"/>
      <w:marBottom w:val="0"/>
      <w:divBdr>
        <w:top w:val="none" w:sz="0" w:space="0" w:color="auto"/>
        <w:left w:val="none" w:sz="0" w:space="0" w:color="auto"/>
        <w:bottom w:val="none" w:sz="0" w:space="0" w:color="auto"/>
        <w:right w:val="none" w:sz="0" w:space="0" w:color="auto"/>
      </w:divBdr>
      <w:divsChild>
        <w:div w:id="520975370">
          <w:marLeft w:val="360"/>
          <w:marRight w:val="0"/>
          <w:marTop w:val="200"/>
          <w:marBottom w:val="0"/>
          <w:divBdr>
            <w:top w:val="none" w:sz="0" w:space="0" w:color="auto"/>
            <w:left w:val="none" w:sz="0" w:space="0" w:color="auto"/>
            <w:bottom w:val="none" w:sz="0" w:space="0" w:color="auto"/>
            <w:right w:val="none" w:sz="0" w:space="0" w:color="auto"/>
          </w:divBdr>
        </w:div>
        <w:div w:id="1361585563">
          <w:marLeft w:val="360"/>
          <w:marRight w:val="0"/>
          <w:marTop w:val="200"/>
          <w:marBottom w:val="0"/>
          <w:divBdr>
            <w:top w:val="none" w:sz="0" w:space="0" w:color="auto"/>
            <w:left w:val="none" w:sz="0" w:space="0" w:color="auto"/>
            <w:bottom w:val="none" w:sz="0" w:space="0" w:color="auto"/>
            <w:right w:val="none" w:sz="0" w:space="0" w:color="auto"/>
          </w:divBdr>
        </w:div>
        <w:div w:id="1615669928">
          <w:marLeft w:val="360"/>
          <w:marRight w:val="0"/>
          <w:marTop w:val="200"/>
          <w:marBottom w:val="0"/>
          <w:divBdr>
            <w:top w:val="none" w:sz="0" w:space="0" w:color="auto"/>
            <w:left w:val="none" w:sz="0" w:space="0" w:color="auto"/>
            <w:bottom w:val="none" w:sz="0" w:space="0" w:color="auto"/>
            <w:right w:val="none" w:sz="0" w:space="0" w:color="auto"/>
          </w:divBdr>
        </w:div>
        <w:div w:id="741102210">
          <w:marLeft w:val="360"/>
          <w:marRight w:val="0"/>
          <w:marTop w:val="200"/>
          <w:marBottom w:val="0"/>
          <w:divBdr>
            <w:top w:val="none" w:sz="0" w:space="0" w:color="auto"/>
            <w:left w:val="none" w:sz="0" w:space="0" w:color="auto"/>
            <w:bottom w:val="none" w:sz="0" w:space="0" w:color="auto"/>
            <w:right w:val="none" w:sz="0" w:space="0" w:color="auto"/>
          </w:divBdr>
        </w:div>
        <w:div w:id="1658411190">
          <w:marLeft w:val="360"/>
          <w:marRight w:val="0"/>
          <w:marTop w:val="200"/>
          <w:marBottom w:val="0"/>
          <w:divBdr>
            <w:top w:val="none" w:sz="0" w:space="0" w:color="auto"/>
            <w:left w:val="none" w:sz="0" w:space="0" w:color="auto"/>
            <w:bottom w:val="none" w:sz="0" w:space="0" w:color="auto"/>
            <w:right w:val="none" w:sz="0" w:space="0" w:color="auto"/>
          </w:divBdr>
        </w:div>
        <w:div w:id="512956870">
          <w:marLeft w:val="360"/>
          <w:marRight w:val="0"/>
          <w:marTop w:val="200"/>
          <w:marBottom w:val="0"/>
          <w:divBdr>
            <w:top w:val="none" w:sz="0" w:space="0" w:color="auto"/>
            <w:left w:val="none" w:sz="0" w:space="0" w:color="auto"/>
            <w:bottom w:val="none" w:sz="0" w:space="0" w:color="auto"/>
            <w:right w:val="none" w:sz="0" w:space="0" w:color="auto"/>
          </w:divBdr>
        </w:div>
        <w:div w:id="1582518640">
          <w:marLeft w:val="360"/>
          <w:marRight w:val="0"/>
          <w:marTop w:val="200"/>
          <w:marBottom w:val="0"/>
          <w:divBdr>
            <w:top w:val="none" w:sz="0" w:space="0" w:color="auto"/>
            <w:left w:val="none" w:sz="0" w:space="0" w:color="auto"/>
            <w:bottom w:val="none" w:sz="0" w:space="0" w:color="auto"/>
            <w:right w:val="none" w:sz="0" w:space="0" w:color="auto"/>
          </w:divBdr>
        </w:div>
        <w:div w:id="1170367244">
          <w:marLeft w:val="360"/>
          <w:marRight w:val="0"/>
          <w:marTop w:val="200"/>
          <w:marBottom w:val="0"/>
          <w:divBdr>
            <w:top w:val="none" w:sz="0" w:space="0" w:color="auto"/>
            <w:left w:val="none" w:sz="0" w:space="0" w:color="auto"/>
            <w:bottom w:val="none" w:sz="0" w:space="0" w:color="auto"/>
            <w:right w:val="none" w:sz="0" w:space="0" w:color="auto"/>
          </w:divBdr>
        </w:div>
        <w:div w:id="267199765">
          <w:marLeft w:val="360"/>
          <w:marRight w:val="0"/>
          <w:marTop w:val="200"/>
          <w:marBottom w:val="0"/>
          <w:divBdr>
            <w:top w:val="none" w:sz="0" w:space="0" w:color="auto"/>
            <w:left w:val="none" w:sz="0" w:space="0" w:color="auto"/>
            <w:bottom w:val="none" w:sz="0" w:space="0" w:color="auto"/>
            <w:right w:val="none" w:sz="0" w:space="0" w:color="auto"/>
          </w:divBdr>
        </w:div>
        <w:div w:id="2112893743">
          <w:marLeft w:val="360"/>
          <w:marRight w:val="0"/>
          <w:marTop w:val="200"/>
          <w:marBottom w:val="0"/>
          <w:divBdr>
            <w:top w:val="none" w:sz="0" w:space="0" w:color="auto"/>
            <w:left w:val="none" w:sz="0" w:space="0" w:color="auto"/>
            <w:bottom w:val="none" w:sz="0" w:space="0" w:color="auto"/>
            <w:right w:val="none" w:sz="0" w:space="0" w:color="auto"/>
          </w:divBdr>
        </w:div>
      </w:divsChild>
    </w:div>
    <w:div w:id="584385536">
      <w:bodyDiv w:val="1"/>
      <w:marLeft w:val="0"/>
      <w:marRight w:val="0"/>
      <w:marTop w:val="0"/>
      <w:marBottom w:val="0"/>
      <w:divBdr>
        <w:top w:val="none" w:sz="0" w:space="0" w:color="auto"/>
        <w:left w:val="none" w:sz="0" w:space="0" w:color="auto"/>
        <w:bottom w:val="none" w:sz="0" w:space="0" w:color="auto"/>
        <w:right w:val="none" w:sz="0" w:space="0" w:color="auto"/>
      </w:divBdr>
    </w:div>
    <w:div w:id="806432124">
      <w:bodyDiv w:val="1"/>
      <w:marLeft w:val="0"/>
      <w:marRight w:val="0"/>
      <w:marTop w:val="0"/>
      <w:marBottom w:val="0"/>
      <w:divBdr>
        <w:top w:val="none" w:sz="0" w:space="0" w:color="auto"/>
        <w:left w:val="none" w:sz="0" w:space="0" w:color="auto"/>
        <w:bottom w:val="none" w:sz="0" w:space="0" w:color="auto"/>
        <w:right w:val="none" w:sz="0" w:space="0" w:color="auto"/>
      </w:divBdr>
    </w:div>
    <w:div w:id="817185159">
      <w:bodyDiv w:val="1"/>
      <w:marLeft w:val="0"/>
      <w:marRight w:val="0"/>
      <w:marTop w:val="0"/>
      <w:marBottom w:val="0"/>
      <w:divBdr>
        <w:top w:val="none" w:sz="0" w:space="0" w:color="auto"/>
        <w:left w:val="none" w:sz="0" w:space="0" w:color="auto"/>
        <w:bottom w:val="none" w:sz="0" w:space="0" w:color="auto"/>
        <w:right w:val="none" w:sz="0" w:space="0" w:color="auto"/>
      </w:divBdr>
    </w:div>
    <w:div w:id="865024840">
      <w:bodyDiv w:val="1"/>
      <w:marLeft w:val="0"/>
      <w:marRight w:val="0"/>
      <w:marTop w:val="0"/>
      <w:marBottom w:val="0"/>
      <w:divBdr>
        <w:top w:val="none" w:sz="0" w:space="0" w:color="auto"/>
        <w:left w:val="none" w:sz="0" w:space="0" w:color="auto"/>
        <w:bottom w:val="none" w:sz="0" w:space="0" w:color="auto"/>
        <w:right w:val="none" w:sz="0" w:space="0" w:color="auto"/>
      </w:divBdr>
      <w:divsChild>
        <w:div w:id="879247080">
          <w:marLeft w:val="360"/>
          <w:marRight w:val="0"/>
          <w:marTop w:val="200"/>
          <w:marBottom w:val="0"/>
          <w:divBdr>
            <w:top w:val="none" w:sz="0" w:space="0" w:color="auto"/>
            <w:left w:val="none" w:sz="0" w:space="0" w:color="auto"/>
            <w:bottom w:val="none" w:sz="0" w:space="0" w:color="auto"/>
            <w:right w:val="none" w:sz="0" w:space="0" w:color="auto"/>
          </w:divBdr>
        </w:div>
        <w:div w:id="1535846578">
          <w:marLeft w:val="360"/>
          <w:marRight w:val="0"/>
          <w:marTop w:val="200"/>
          <w:marBottom w:val="0"/>
          <w:divBdr>
            <w:top w:val="none" w:sz="0" w:space="0" w:color="auto"/>
            <w:left w:val="none" w:sz="0" w:space="0" w:color="auto"/>
            <w:bottom w:val="none" w:sz="0" w:space="0" w:color="auto"/>
            <w:right w:val="none" w:sz="0" w:space="0" w:color="auto"/>
          </w:divBdr>
        </w:div>
        <w:div w:id="2004812673">
          <w:marLeft w:val="360"/>
          <w:marRight w:val="0"/>
          <w:marTop w:val="200"/>
          <w:marBottom w:val="0"/>
          <w:divBdr>
            <w:top w:val="none" w:sz="0" w:space="0" w:color="auto"/>
            <w:left w:val="none" w:sz="0" w:space="0" w:color="auto"/>
            <w:bottom w:val="none" w:sz="0" w:space="0" w:color="auto"/>
            <w:right w:val="none" w:sz="0" w:space="0" w:color="auto"/>
          </w:divBdr>
        </w:div>
        <w:div w:id="857500023">
          <w:marLeft w:val="360"/>
          <w:marRight w:val="0"/>
          <w:marTop w:val="200"/>
          <w:marBottom w:val="0"/>
          <w:divBdr>
            <w:top w:val="none" w:sz="0" w:space="0" w:color="auto"/>
            <w:left w:val="none" w:sz="0" w:space="0" w:color="auto"/>
            <w:bottom w:val="none" w:sz="0" w:space="0" w:color="auto"/>
            <w:right w:val="none" w:sz="0" w:space="0" w:color="auto"/>
          </w:divBdr>
        </w:div>
        <w:div w:id="465195798">
          <w:marLeft w:val="360"/>
          <w:marRight w:val="0"/>
          <w:marTop w:val="200"/>
          <w:marBottom w:val="0"/>
          <w:divBdr>
            <w:top w:val="none" w:sz="0" w:space="0" w:color="auto"/>
            <w:left w:val="none" w:sz="0" w:space="0" w:color="auto"/>
            <w:bottom w:val="none" w:sz="0" w:space="0" w:color="auto"/>
            <w:right w:val="none" w:sz="0" w:space="0" w:color="auto"/>
          </w:divBdr>
        </w:div>
        <w:div w:id="1731927103">
          <w:marLeft w:val="360"/>
          <w:marRight w:val="0"/>
          <w:marTop w:val="200"/>
          <w:marBottom w:val="0"/>
          <w:divBdr>
            <w:top w:val="none" w:sz="0" w:space="0" w:color="auto"/>
            <w:left w:val="none" w:sz="0" w:space="0" w:color="auto"/>
            <w:bottom w:val="none" w:sz="0" w:space="0" w:color="auto"/>
            <w:right w:val="none" w:sz="0" w:space="0" w:color="auto"/>
          </w:divBdr>
        </w:div>
        <w:div w:id="1599674448">
          <w:marLeft w:val="360"/>
          <w:marRight w:val="0"/>
          <w:marTop w:val="200"/>
          <w:marBottom w:val="0"/>
          <w:divBdr>
            <w:top w:val="none" w:sz="0" w:space="0" w:color="auto"/>
            <w:left w:val="none" w:sz="0" w:space="0" w:color="auto"/>
            <w:bottom w:val="none" w:sz="0" w:space="0" w:color="auto"/>
            <w:right w:val="none" w:sz="0" w:space="0" w:color="auto"/>
          </w:divBdr>
        </w:div>
        <w:div w:id="1072702491">
          <w:marLeft w:val="360"/>
          <w:marRight w:val="0"/>
          <w:marTop w:val="200"/>
          <w:marBottom w:val="0"/>
          <w:divBdr>
            <w:top w:val="none" w:sz="0" w:space="0" w:color="auto"/>
            <w:left w:val="none" w:sz="0" w:space="0" w:color="auto"/>
            <w:bottom w:val="none" w:sz="0" w:space="0" w:color="auto"/>
            <w:right w:val="none" w:sz="0" w:space="0" w:color="auto"/>
          </w:divBdr>
        </w:div>
        <w:div w:id="408234663">
          <w:marLeft w:val="360"/>
          <w:marRight w:val="0"/>
          <w:marTop w:val="200"/>
          <w:marBottom w:val="0"/>
          <w:divBdr>
            <w:top w:val="none" w:sz="0" w:space="0" w:color="auto"/>
            <w:left w:val="none" w:sz="0" w:space="0" w:color="auto"/>
            <w:bottom w:val="none" w:sz="0" w:space="0" w:color="auto"/>
            <w:right w:val="none" w:sz="0" w:space="0" w:color="auto"/>
          </w:divBdr>
        </w:div>
        <w:div w:id="1879855442">
          <w:marLeft w:val="360"/>
          <w:marRight w:val="0"/>
          <w:marTop w:val="200"/>
          <w:marBottom w:val="0"/>
          <w:divBdr>
            <w:top w:val="none" w:sz="0" w:space="0" w:color="auto"/>
            <w:left w:val="none" w:sz="0" w:space="0" w:color="auto"/>
            <w:bottom w:val="none" w:sz="0" w:space="0" w:color="auto"/>
            <w:right w:val="none" w:sz="0" w:space="0" w:color="auto"/>
          </w:divBdr>
        </w:div>
        <w:div w:id="615793918">
          <w:marLeft w:val="360"/>
          <w:marRight w:val="0"/>
          <w:marTop w:val="200"/>
          <w:marBottom w:val="0"/>
          <w:divBdr>
            <w:top w:val="none" w:sz="0" w:space="0" w:color="auto"/>
            <w:left w:val="none" w:sz="0" w:space="0" w:color="auto"/>
            <w:bottom w:val="none" w:sz="0" w:space="0" w:color="auto"/>
            <w:right w:val="none" w:sz="0" w:space="0" w:color="auto"/>
          </w:divBdr>
        </w:div>
        <w:div w:id="1093356399">
          <w:marLeft w:val="360"/>
          <w:marRight w:val="0"/>
          <w:marTop w:val="200"/>
          <w:marBottom w:val="0"/>
          <w:divBdr>
            <w:top w:val="none" w:sz="0" w:space="0" w:color="auto"/>
            <w:left w:val="none" w:sz="0" w:space="0" w:color="auto"/>
            <w:bottom w:val="none" w:sz="0" w:space="0" w:color="auto"/>
            <w:right w:val="none" w:sz="0" w:space="0" w:color="auto"/>
          </w:divBdr>
        </w:div>
        <w:div w:id="1948192086">
          <w:marLeft w:val="360"/>
          <w:marRight w:val="0"/>
          <w:marTop w:val="200"/>
          <w:marBottom w:val="0"/>
          <w:divBdr>
            <w:top w:val="none" w:sz="0" w:space="0" w:color="auto"/>
            <w:left w:val="none" w:sz="0" w:space="0" w:color="auto"/>
            <w:bottom w:val="none" w:sz="0" w:space="0" w:color="auto"/>
            <w:right w:val="none" w:sz="0" w:space="0" w:color="auto"/>
          </w:divBdr>
        </w:div>
      </w:divsChild>
    </w:div>
    <w:div w:id="1213081688">
      <w:bodyDiv w:val="1"/>
      <w:marLeft w:val="0"/>
      <w:marRight w:val="0"/>
      <w:marTop w:val="0"/>
      <w:marBottom w:val="0"/>
      <w:divBdr>
        <w:top w:val="none" w:sz="0" w:space="0" w:color="auto"/>
        <w:left w:val="none" w:sz="0" w:space="0" w:color="auto"/>
        <w:bottom w:val="none" w:sz="0" w:space="0" w:color="auto"/>
        <w:right w:val="none" w:sz="0" w:space="0" w:color="auto"/>
      </w:divBdr>
    </w:div>
    <w:div w:id="1289318886">
      <w:bodyDiv w:val="1"/>
      <w:marLeft w:val="0"/>
      <w:marRight w:val="0"/>
      <w:marTop w:val="0"/>
      <w:marBottom w:val="0"/>
      <w:divBdr>
        <w:top w:val="none" w:sz="0" w:space="0" w:color="auto"/>
        <w:left w:val="none" w:sz="0" w:space="0" w:color="auto"/>
        <w:bottom w:val="none" w:sz="0" w:space="0" w:color="auto"/>
        <w:right w:val="none" w:sz="0" w:space="0" w:color="auto"/>
      </w:divBdr>
    </w:div>
    <w:div w:id="1321229304">
      <w:bodyDiv w:val="1"/>
      <w:marLeft w:val="0"/>
      <w:marRight w:val="0"/>
      <w:marTop w:val="0"/>
      <w:marBottom w:val="0"/>
      <w:divBdr>
        <w:top w:val="none" w:sz="0" w:space="0" w:color="auto"/>
        <w:left w:val="none" w:sz="0" w:space="0" w:color="auto"/>
        <w:bottom w:val="none" w:sz="0" w:space="0" w:color="auto"/>
        <w:right w:val="none" w:sz="0" w:space="0" w:color="auto"/>
      </w:divBdr>
    </w:div>
    <w:div w:id="1662386331">
      <w:bodyDiv w:val="1"/>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360"/>
          <w:marRight w:val="0"/>
          <w:marTop w:val="200"/>
          <w:marBottom w:val="0"/>
          <w:divBdr>
            <w:top w:val="none" w:sz="0" w:space="0" w:color="auto"/>
            <w:left w:val="none" w:sz="0" w:space="0" w:color="auto"/>
            <w:bottom w:val="none" w:sz="0" w:space="0" w:color="auto"/>
            <w:right w:val="none" w:sz="0" w:space="0" w:color="auto"/>
          </w:divBdr>
        </w:div>
        <w:div w:id="1317805653">
          <w:marLeft w:val="360"/>
          <w:marRight w:val="0"/>
          <w:marTop w:val="200"/>
          <w:marBottom w:val="0"/>
          <w:divBdr>
            <w:top w:val="none" w:sz="0" w:space="0" w:color="auto"/>
            <w:left w:val="none" w:sz="0" w:space="0" w:color="auto"/>
            <w:bottom w:val="none" w:sz="0" w:space="0" w:color="auto"/>
            <w:right w:val="none" w:sz="0" w:space="0" w:color="auto"/>
          </w:divBdr>
        </w:div>
        <w:div w:id="1301686692">
          <w:marLeft w:val="360"/>
          <w:marRight w:val="0"/>
          <w:marTop w:val="200"/>
          <w:marBottom w:val="0"/>
          <w:divBdr>
            <w:top w:val="none" w:sz="0" w:space="0" w:color="auto"/>
            <w:left w:val="none" w:sz="0" w:space="0" w:color="auto"/>
            <w:bottom w:val="none" w:sz="0" w:space="0" w:color="auto"/>
            <w:right w:val="none" w:sz="0" w:space="0" w:color="auto"/>
          </w:divBdr>
        </w:div>
        <w:div w:id="1081371064">
          <w:marLeft w:val="360"/>
          <w:marRight w:val="0"/>
          <w:marTop w:val="200"/>
          <w:marBottom w:val="0"/>
          <w:divBdr>
            <w:top w:val="none" w:sz="0" w:space="0" w:color="auto"/>
            <w:left w:val="none" w:sz="0" w:space="0" w:color="auto"/>
            <w:bottom w:val="none" w:sz="0" w:space="0" w:color="auto"/>
            <w:right w:val="none" w:sz="0" w:space="0" w:color="auto"/>
          </w:divBdr>
        </w:div>
        <w:div w:id="1619792667">
          <w:marLeft w:val="360"/>
          <w:marRight w:val="0"/>
          <w:marTop w:val="200"/>
          <w:marBottom w:val="0"/>
          <w:divBdr>
            <w:top w:val="none" w:sz="0" w:space="0" w:color="auto"/>
            <w:left w:val="none" w:sz="0" w:space="0" w:color="auto"/>
            <w:bottom w:val="none" w:sz="0" w:space="0" w:color="auto"/>
            <w:right w:val="none" w:sz="0" w:space="0" w:color="auto"/>
          </w:divBdr>
        </w:div>
        <w:div w:id="653141169">
          <w:marLeft w:val="360"/>
          <w:marRight w:val="0"/>
          <w:marTop w:val="200"/>
          <w:marBottom w:val="0"/>
          <w:divBdr>
            <w:top w:val="none" w:sz="0" w:space="0" w:color="auto"/>
            <w:left w:val="none" w:sz="0" w:space="0" w:color="auto"/>
            <w:bottom w:val="none" w:sz="0" w:space="0" w:color="auto"/>
            <w:right w:val="none" w:sz="0" w:space="0" w:color="auto"/>
          </w:divBdr>
        </w:div>
        <w:div w:id="890649761">
          <w:marLeft w:val="360"/>
          <w:marRight w:val="0"/>
          <w:marTop w:val="200"/>
          <w:marBottom w:val="0"/>
          <w:divBdr>
            <w:top w:val="none" w:sz="0" w:space="0" w:color="auto"/>
            <w:left w:val="none" w:sz="0" w:space="0" w:color="auto"/>
            <w:bottom w:val="none" w:sz="0" w:space="0" w:color="auto"/>
            <w:right w:val="none" w:sz="0" w:space="0" w:color="auto"/>
          </w:divBdr>
        </w:div>
        <w:div w:id="33582002">
          <w:marLeft w:val="360"/>
          <w:marRight w:val="0"/>
          <w:marTop w:val="200"/>
          <w:marBottom w:val="0"/>
          <w:divBdr>
            <w:top w:val="none" w:sz="0" w:space="0" w:color="auto"/>
            <w:left w:val="none" w:sz="0" w:space="0" w:color="auto"/>
            <w:bottom w:val="none" w:sz="0" w:space="0" w:color="auto"/>
            <w:right w:val="none" w:sz="0" w:space="0" w:color="auto"/>
          </w:divBdr>
        </w:div>
        <w:div w:id="545606573">
          <w:marLeft w:val="360"/>
          <w:marRight w:val="0"/>
          <w:marTop w:val="200"/>
          <w:marBottom w:val="0"/>
          <w:divBdr>
            <w:top w:val="none" w:sz="0" w:space="0" w:color="auto"/>
            <w:left w:val="none" w:sz="0" w:space="0" w:color="auto"/>
            <w:bottom w:val="none" w:sz="0" w:space="0" w:color="auto"/>
            <w:right w:val="none" w:sz="0" w:space="0" w:color="auto"/>
          </w:divBdr>
        </w:div>
        <w:div w:id="1149590041">
          <w:marLeft w:val="360"/>
          <w:marRight w:val="0"/>
          <w:marTop w:val="200"/>
          <w:marBottom w:val="0"/>
          <w:divBdr>
            <w:top w:val="none" w:sz="0" w:space="0" w:color="auto"/>
            <w:left w:val="none" w:sz="0" w:space="0" w:color="auto"/>
            <w:bottom w:val="none" w:sz="0" w:space="0" w:color="auto"/>
            <w:right w:val="none" w:sz="0" w:space="0" w:color="auto"/>
          </w:divBdr>
        </w:div>
        <w:div w:id="1335451164">
          <w:marLeft w:val="360"/>
          <w:marRight w:val="0"/>
          <w:marTop w:val="200"/>
          <w:marBottom w:val="0"/>
          <w:divBdr>
            <w:top w:val="none" w:sz="0" w:space="0" w:color="auto"/>
            <w:left w:val="none" w:sz="0" w:space="0" w:color="auto"/>
            <w:bottom w:val="none" w:sz="0" w:space="0" w:color="auto"/>
            <w:right w:val="none" w:sz="0" w:space="0" w:color="auto"/>
          </w:divBdr>
        </w:div>
        <w:div w:id="1089160042">
          <w:marLeft w:val="360"/>
          <w:marRight w:val="0"/>
          <w:marTop w:val="200"/>
          <w:marBottom w:val="0"/>
          <w:divBdr>
            <w:top w:val="none" w:sz="0" w:space="0" w:color="auto"/>
            <w:left w:val="none" w:sz="0" w:space="0" w:color="auto"/>
            <w:bottom w:val="none" w:sz="0" w:space="0" w:color="auto"/>
            <w:right w:val="none" w:sz="0" w:space="0" w:color="auto"/>
          </w:divBdr>
        </w:div>
      </w:divsChild>
    </w:div>
    <w:div w:id="211165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ebpa.org/2021-eur-bioassay-abstract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4D3EED97A2F469D88C003A1032952" ma:contentTypeVersion="12" ma:contentTypeDescription="Create a new document." ma:contentTypeScope="" ma:versionID="31f23dcd805cd42ee9d71a10b58ba1d5">
  <xsd:schema xmlns:xsd="http://www.w3.org/2001/XMLSchema" xmlns:xs="http://www.w3.org/2001/XMLSchema" xmlns:p="http://schemas.microsoft.com/office/2006/metadata/properties" xmlns:ns2="e293039f-1bc6-4de1-938c-643590511593" xmlns:ns3="25f00bc1-7882-4621-b603-214e07bfe836" targetNamespace="http://schemas.microsoft.com/office/2006/metadata/properties" ma:root="true" ma:fieldsID="d99c9507e8ee46aee74c18985b60fe37" ns2:_="" ns3:_="">
    <xsd:import namespace="e293039f-1bc6-4de1-938c-643590511593"/>
    <xsd:import namespace="25f00bc1-7882-4621-b603-214e07bfe8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3039f-1bc6-4de1-938c-643590511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f00bc1-7882-4621-b603-214e07bfe8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783580-2E2D-49E2-B92C-523185EB6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3039f-1bc6-4de1-938c-643590511593"/>
    <ds:schemaRef ds:uri="25f00bc1-7882-4621-b603-214e07bfe8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4D997-3B3E-4CF9-B57A-972C9A0A54CE}">
  <ds:schemaRefs>
    <ds:schemaRef ds:uri="http://schemas.microsoft.com/sharepoint/v3/contenttype/forms"/>
  </ds:schemaRefs>
</ds:datastoreItem>
</file>

<file path=customXml/itemProps3.xml><?xml version="1.0" encoding="utf-8"?>
<ds:datastoreItem xmlns:ds="http://schemas.openxmlformats.org/officeDocument/2006/customXml" ds:itemID="{F9F4AE80-D24C-41DD-9E26-09868A3B59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Bernasconi</dc:creator>
  <cp:keywords/>
  <dc:description/>
  <cp:lastModifiedBy>Sonja Henne</cp:lastModifiedBy>
  <cp:revision>2</cp:revision>
  <dcterms:created xsi:type="dcterms:W3CDTF">2021-11-12T10:30:00Z</dcterms:created>
  <dcterms:modified xsi:type="dcterms:W3CDTF">2021-11-12T10:30:00Z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vt:lpwstr>
  </property>
  <property fmtid="{D5CDD505-2E9C-101B-9397-08002B2CF9AE}" pid="3" name="ClassificationContentMarkingFooterFontProps">
    <vt:lpwstr>#000000,10,Calibri</vt:lpwstr>
  </property>
  <property fmtid="{D5CDD505-2E9C-101B-9397-08002B2CF9AE}" pid="4" name="ClassificationContentMarkingFooterText">
    <vt:lpwstr>Sensitivity: CEPI Internal</vt:lpwstr>
  </property>
  <property fmtid="{D5CDD505-2E9C-101B-9397-08002B2CF9AE}" pid="5" name="ContentTypeId">
    <vt:lpwstr>0x0101003184D3EED97A2F469D88C003A1032952</vt:lpwstr>
  </property>
  <property fmtid="{D5CDD505-2E9C-101B-9397-08002B2CF9AE}" pid="6" name="MSIP_Label_8b0ae090-9467-48ee-8e22-e1b9ae0a2f33_Enabled">
    <vt:lpwstr>true</vt:lpwstr>
  </property>
  <property fmtid="{D5CDD505-2E9C-101B-9397-08002B2CF9AE}" pid="7" name="MSIP_Label_8b0ae090-9467-48ee-8e22-e1b9ae0a2f33_SetDate">
    <vt:lpwstr>2021-10-11T12:09:53Z</vt:lpwstr>
  </property>
  <property fmtid="{D5CDD505-2E9C-101B-9397-08002B2CF9AE}" pid="8" name="MSIP_Label_8b0ae090-9467-48ee-8e22-e1b9ae0a2f33_Method">
    <vt:lpwstr>Privileged</vt:lpwstr>
  </property>
  <property fmtid="{D5CDD505-2E9C-101B-9397-08002B2CF9AE}" pid="9" name="MSIP_Label_8b0ae090-9467-48ee-8e22-e1b9ae0a2f33_Name">
    <vt:lpwstr>Public</vt:lpwstr>
  </property>
  <property fmtid="{D5CDD505-2E9C-101B-9397-08002B2CF9AE}" pid="10" name="MSIP_Label_8b0ae090-9467-48ee-8e22-e1b9ae0a2f33_SiteId">
    <vt:lpwstr>80bdb1d3-debd-4f2d-9316-510b9ecdab02</vt:lpwstr>
  </property>
  <property fmtid="{D5CDD505-2E9C-101B-9397-08002B2CF9AE}" pid="11" name="MSIP_Label_8b0ae090-9467-48ee-8e22-e1b9ae0a2f33_ActionId">
    <vt:lpwstr>bcd98dab-aab1-4a74-90a3-b695cb5bb358</vt:lpwstr>
  </property>
  <property fmtid="{D5CDD505-2E9C-101B-9397-08002B2CF9AE}" pid="12" name="MSIP_Label_8b0ae090-9467-48ee-8e22-e1b9ae0a2f33_ContentBits">
    <vt:lpwstr>0</vt:lpwstr>
  </property>
</Properties>
</file>