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EDCBA" w14:textId="76157D36" w:rsidR="00322BEC" w:rsidRDefault="00322BEC" w:rsidP="002A42F9">
      <w:pPr>
        <w:jc w:val="center"/>
        <w:rPr>
          <w:b/>
          <w:bCs/>
          <w:sz w:val="32"/>
          <w:szCs w:val="32"/>
          <w:u w:val="single"/>
        </w:rPr>
      </w:pPr>
      <w:r>
        <w:rPr>
          <w:b/>
          <w:bCs/>
          <w:noProof/>
          <w:sz w:val="32"/>
          <w:szCs w:val="32"/>
          <w:u w:val="single"/>
        </w:rPr>
        <w:drawing>
          <wp:anchor distT="0" distB="0" distL="114300" distR="114300" simplePos="0" relativeHeight="251664391" behindDoc="0" locked="0" layoutInCell="1" allowOverlap="1" wp14:anchorId="317179A1" wp14:editId="0567DB89">
            <wp:simplePos x="0" y="0"/>
            <wp:positionH relativeFrom="column">
              <wp:posOffset>-57150</wp:posOffset>
            </wp:positionH>
            <wp:positionV relativeFrom="paragraph">
              <wp:posOffset>0</wp:posOffset>
            </wp:positionV>
            <wp:extent cx="129921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21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608C2" w14:textId="77777777" w:rsidR="00322BEC" w:rsidRDefault="00322BEC" w:rsidP="002A42F9">
      <w:pPr>
        <w:jc w:val="center"/>
        <w:rPr>
          <w:b/>
          <w:bCs/>
          <w:sz w:val="32"/>
          <w:szCs w:val="32"/>
          <w:u w:val="single"/>
        </w:rPr>
      </w:pPr>
    </w:p>
    <w:p w14:paraId="19EE7369" w14:textId="7C5DC7FE" w:rsidR="00322BEC" w:rsidRDefault="00322BEC" w:rsidP="002A42F9">
      <w:pPr>
        <w:jc w:val="center"/>
        <w:rPr>
          <w:b/>
          <w:bCs/>
          <w:sz w:val="32"/>
          <w:szCs w:val="32"/>
          <w:u w:val="single"/>
        </w:rPr>
      </w:pPr>
    </w:p>
    <w:p w14:paraId="34CE6870" w14:textId="6D89729E" w:rsidR="00322BEC" w:rsidRDefault="00322BEC" w:rsidP="002A42F9">
      <w:pPr>
        <w:jc w:val="center"/>
        <w:rPr>
          <w:b/>
          <w:bCs/>
          <w:sz w:val="32"/>
          <w:szCs w:val="32"/>
          <w:u w:val="single"/>
        </w:rPr>
      </w:pPr>
    </w:p>
    <w:p w14:paraId="4CFF00BF" w14:textId="77777777" w:rsidR="00322BEC" w:rsidRDefault="00322BEC" w:rsidP="002A42F9">
      <w:pPr>
        <w:jc w:val="center"/>
        <w:rPr>
          <w:b/>
          <w:bCs/>
          <w:sz w:val="32"/>
          <w:szCs w:val="32"/>
          <w:u w:val="single"/>
        </w:rPr>
      </w:pPr>
    </w:p>
    <w:p w14:paraId="046A0011" w14:textId="194CA6DC" w:rsidR="00421808" w:rsidRPr="00322BEC" w:rsidRDefault="00D82947" w:rsidP="002A42F9">
      <w:pPr>
        <w:jc w:val="center"/>
        <w:rPr>
          <w:b/>
          <w:bCs/>
          <w:sz w:val="36"/>
          <w:szCs w:val="36"/>
        </w:rPr>
      </w:pPr>
      <w:r w:rsidRPr="00322BEC">
        <w:rPr>
          <w:b/>
          <w:bCs/>
          <w:sz w:val="36"/>
          <w:szCs w:val="36"/>
        </w:rPr>
        <w:t>COVID-19 Vaccine Hesitancy across the Prison Estate</w:t>
      </w:r>
    </w:p>
    <w:p w14:paraId="1D274746" w14:textId="7F4BC359" w:rsidR="00612ABE" w:rsidRDefault="00322BEC" w:rsidP="002A42F9">
      <w:pPr>
        <w:jc w:val="center"/>
        <w:rPr>
          <w:b/>
          <w:bCs/>
          <w:sz w:val="36"/>
          <w:szCs w:val="36"/>
        </w:rPr>
      </w:pPr>
      <w:r w:rsidRPr="00322BEC">
        <w:rPr>
          <w:b/>
          <w:bCs/>
          <w:sz w:val="36"/>
          <w:szCs w:val="36"/>
        </w:rPr>
        <w:t>Thematic Review</w:t>
      </w:r>
    </w:p>
    <w:p w14:paraId="18922F09" w14:textId="77777777" w:rsidR="00322BEC" w:rsidRPr="00322BEC" w:rsidRDefault="00322BEC" w:rsidP="002A42F9">
      <w:pPr>
        <w:jc w:val="center"/>
        <w:rPr>
          <w:b/>
          <w:bCs/>
          <w:sz w:val="36"/>
          <w:szCs w:val="36"/>
        </w:rPr>
      </w:pPr>
    </w:p>
    <w:p w14:paraId="6C1E42B3" w14:textId="7E0B79CD" w:rsidR="00322BEC" w:rsidRPr="00322BEC" w:rsidRDefault="00322BEC" w:rsidP="00322BEC">
      <w:pPr>
        <w:jc w:val="center"/>
        <w:rPr>
          <w:rFonts w:cstheme="minorHAnsi"/>
          <w:b/>
          <w:bCs/>
          <w:sz w:val="36"/>
          <w:szCs w:val="36"/>
        </w:rPr>
      </w:pPr>
      <w:r w:rsidRPr="00322BEC">
        <w:rPr>
          <w:rFonts w:cstheme="minorHAnsi"/>
          <w:b/>
          <w:bCs/>
          <w:sz w:val="36"/>
          <w:szCs w:val="36"/>
        </w:rPr>
        <w:t>Publication Date: 10.05.21</w:t>
      </w:r>
    </w:p>
    <w:p w14:paraId="58FF51E7" w14:textId="77777777" w:rsidR="00322BEC" w:rsidRDefault="00322BEC">
      <w:pPr>
        <w:rPr>
          <w:rFonts w:cstheme="minorHAnsi"/>
        </w:rPr>
      </w:pPr>
      <w:r>
        <w:rPr>
          <w:rFonts w:cstheme="minorHAnsi"/>
        </w:rPr>
        <w:br w:type="page"/>
      </w:r>
    </w:p>
    <w:p w14:paraId="575840FF" w14:textId="0A0E4D88" w:rsidR="00322BEC" w:rsidRDefault="00322BEC" w:rsidP="00322BEC">
      <w:pPr>
        <w:jc w:val="center"/>
        <w:rPr>
          <w:rFonts w:cstheme="minorHAnsi"/>
          <w:b/>
          <w:bCs/>
          <w:sz w:val="36"/>
          <w:szCs w:val="36"/>
          <w:u w:val="single"/>
        </w:rPr>
      </w:pPr>
      <w:r w:rsidRPr="00322BEC">
        <w:rPr>
          <w:rFonts w:cstheme="minorHAnsi"/>
          <w:b/>
          <w:bCs/>
          <w:sz w:val="36"/>
          <w:szCs w:val="36"/>
          <w:u w:val="single"/>
        </w:rPr>
        <w:lastRenderedPageBreak/>
        <w:t>CONTENTS</w:t>
      </w:r>
    </w:p>
    <w:p w14:paraId="61C0FFCB" w14:textId="73AD697B" w:rsidR="00322BEC" w:rsidRDefault="00322BEC" w:rsidP="00322BEC">
      <w:pPr>
        <w:jc w:val="center"/>
        <w:rPr>
          <w:rFonts w:cstheme="minorHAnsi"/>
          <w:b/>
          <w:bCs/>
          <w:sz w:val="36"/>
          <w:szCs w:val="36"/>
          <w:u w:val="single"/>
        </w:rPr>
      </w:pPr>
    </w:p>
    <w:p w14:paraId="5EB49B4D" w14:textId="77777777" w:rsidR="00DE703D" w:rsidRDefault="00DE703D" w:rsidP="00322BEC">
      <w:pPr>
        <w:jc w:val="center"/>
        <w:rPr>
          <w:rFonts w:cstheme="minorHAnsi"/>
          <w:b/>
          <w:bCs/>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22BEC" w:rsidRPr="00CF148D" w14:paraId="54DF642E" w14:textId="77777777" w:rsidTr="00CF148D">
        <w:tc>
          <w:tcPr>
            <w:tcW w:w="4508" w:type="dxa"/>
          </w:tcPr>
          <w:p w14:paraId="558CD715" w14:textId="7FB4474C" w:rsidR="00322BEC" w:rsidRDefault="00926F36" w:rsidP="00DE703D">
            <w:pPr>
              <w:pStyle w:val="ListParagraph"/>
              <w:numPr>
                <w:ilvl w:val="0"/>
                <w:numId w:val="33"/>
              </w:numPr>
              <w:ind w:left="457"/>
              <w:jc w:val="both"/>
              <w:rPr>
                <w:rFonts w:cstheme="minorHAnsi"/>
                <w:sz w:val="24"/>
                <w:szCs w:val="24"/>
              </w:rPr>
            </w:pPr>
            <w:hyperlink w:anchor="Intro" w:history="1">
              <w:r w:rsidR="00322BEC" w:rsidRPr="00CF148D">
                <w:rPr>
                  <w:rStyle w:val="Hyperlink"/>
                  <w:rFonts w:cstheme="minorHAnsi"/>
                  <w:sz w:val="24"/>
                  <w:szCs w:val="24"/>
                </w:rPr>
                <w:t>Introduction</w:t>
              </w:r>
            </w:hyperlink>
          </w:p>
          <w:p w14:paraId="25EA19EA" w14:textId="1528B3F7" w:rsidR="00CF148D" w:rsidRPr="00CF148D" w:rsidRDefault="00CF148D" w:rsidP="00CF148D">
            <w:pPr>
              <w:pStyle w:val="ListParagraph"/>
              <w:ind w:left="457"/>
              <w:jc w:val="both"/>
              <w:rPr>
                <w:rFonts w:cstheme="minorHAnsi"/>
                <w:sz w:val="24"/>
                <w:szCs w:val="24"/>
              </w:rPr>
            </w:pPr>
          </w:p>
        </w:tc>
        <w:tc>
          <w:tcPr>
            <w:tcW w:w="4508" w:type="dxa"/>
          </w:tcPr>
          <w:p w14:paraId="20F0E71F" w14:textId="5A98F53F" w:rsidR="00322BEC" w:rsidRPr="00CF148D" w:rsidRDefault="00DE703D" w:rsidP="00DE703D">
            <w:pPr>
              <w:jc w:val="right"/>
              <w:rPr>
                <w:rFonts w:cstheme="minorHAnsi"/>
                <w:b/>
                <w:bCs/>
                <w:sz w:val="24"/>
                <w:szCs w:val="24"/>
              </w:rPr>
            </w:pPr>
            <w:r w:rsidRPr="00CF148D">
              <w:rPr>
                <w:rFonts w:cstheme="minorHAnsi"/>
                <w:b/>
                <w:bCs/>
                <w:sz w:val="24"/>
                <w:szCs w:val="24"/>
              </w:rPr>
              <w:t>3</w:t>
            </w:r>
          </w:p>
        </w:tc>
      </w:tr>
      <w:tr w:rsidR="00322BEC" w:rsidRPr="00CF148D" w14:paraId="304FDE17" w14:textId="77777777" w:rsidTr="00CF148D">
        <w:tc>
          <w:tcPr>
            <w:tcW w:w="4508" w:type="dxa"/>
          </w:tcPr>
          <w:p w14:paraId="5F9F5930" w14:textId="57E1CD3F" w:rsidR="00322BEC" w:rsidRDefault="00926F36" w:rsidP="00DE703D">
            <w:pPr>
              <w:pStyle w:val="ListParagraph"/>
              <w:numPr>
                <w:ilvl w:val="0"/>
                <w:numId w:val="33"/>
              </w:numPr>
              <w:ind w:left="457"/>
              <w:jc w:val="both"/>
              <w:rPr>
                <w:rFonts w:cstheme="minorHAnsi"/>
                <w:sz w:val="24"/>
                <w:szCs w:val="24"/>
              </w:rPr>
            </w:pPr>
            <w:hyperlink w:anchor="Decline" w:history="1">
              <w:r w:rsidR="00322BEC" w:rsidRPr="00CF148D">
                <w:rPr>
                  <w:rStyle w:val="Hyperlink"/>
                  <w:rFonts w:cstheme="minorHAnsi"/>
                  <w:sz w:val="24"/>
                  <w:szCs w:val="24"/>
                </w:rPr>
                <w:t>High Decline Rate Sites</w:t>
              </w:r>
            </w:hyperlink>
          </w:p>
          <w:p w14:paraId="19132356" w14:textId="17241DFE" w:rsidR="00CF148D" w:rsidRPr="00CF148D" w:rsidRDefault="00CF148D" w:rsidP="00CF148D">
            <w:pPr>
              <w:pStyle w:val="ListParagraph"/>
              <w:ind w:left="457"/>
              <w:jc w:val="both"/>
              <w:rPr>
                <w:rFonts w:cstheme="minorHAnsi"/>
                <w:sz w:val="24"/>
                <w:szCs w:val="24"/>
              </w:rPr>
            </w:pPr>
          </w:p>
        </w:tc>
        <w:tc>
          <w:tcPr>
            <w:tcW w:w="4508" w:type="dxa"/>
          </w:tcPr>
          <w:p w14:paraId="0E3F5FEE" w14:textId="39054941" w:rsidR="00322BEC" w:rsidRPr="00CF148D" w:rsidRDefault="00DE703D" w:rsidP="00DE703D">
            <w:pPr>
              <w:jc w:val="right"/>
              <w:rPr>
                <w:rFonts w:cstheme="minorHAnsi"/>
                <w:b/>
                <w:bCs/>
                <w:sz w:val="24"/>
                <w:szCs w:val="24"/>
              </w:rPr>
            </w:pPr>
            <w:r w:rsidRPr="00CF148D">
              <w:rPr>
                <w:rFonts w:cstheme="minorHAnsi"/>
                <w:b/>
                <w:bCs/>
                <w:sz w:val="24"/>
                <w:szCs w:val="24"/>
              </w:rPr>
              <w:t>3</w:t>
            </w:r>
          </w:p>
        </w:tc>
      </w:tr>
      <w:tr w:rsidR="00322BEC" w:rsidRPr="00CF148D" w14:paraId="57F43895" w14:textId="77777777" w:rsidTr="00CF148D">
        <w:tc>
          <w:tcPr>
            <w:tcW w:w="4508" w:type="dxa"/>
          </w:tcPr>
          <w:p w14:paraId="0A7A397A" w14:textId="7208979C" w:rsidR="00322BEC" w:rsidRDefault="00926F36" w:rsidP="00DE703D">
            <w:pPr>
              <w:pStyle w:val="ListParagraph"/>
              <w:numPr>
                <w:ilvl w:val="0"/>
                <w:numId w:val="33"/>
              </w:numPr>
              <w:ind w:left="457"/>
              <w:jc w:val="both"/>
              <w:rPr>
                <w:rFonts w:cstheme="minorHAnsi"/>
                <w:sz w:val="24"/>
                <w:szCs w:val="24"/>
              </w:rPr>
            </w:pPr>
            <w:hyperlink w:anchor="Uptake" w:history="1">
              <w:r w:rsidR="00322BEC" w:rsidRPr="00CF148D">
                <w:rPr>
                  <w:rStyle w:val="Hyperlink"/>
                  <w:rFonts w:cstheme="minorHAnsi"/>
                  <w:sz w:val="24"/>
                  <w:szCs w:val="24"/>
                </w:rPr>
                <w:t>High Uptake Rate Sites</w:t>
              </w:r>
            </w:hyperlink>
          </w:p>
          <w:p w14:paraId="0307EDC7" w14:textId="7F2D5DF3" w:rsidR="00CF148D" w:rsidRPr="00CF148D" w:rsidRDefault="00CF148D" w:rsidP="00CF148D">
            <w:pPr>
              <w:pStyle w:val="ListParagraph"/>
              <w:ind w:left="457"/>
              <w:jc w:val="both"/>
              <w:rPr>
                <w:rFonts w:cstheme="minorHAnsi"/>
                <w:sz w:val="24"/>
                <w:szCs w:val="24"/>
              </w:rPr>
            </w:pPr>
          </w:p>
        </w:tc>
        <w:tc>
          <w:tcPr>
            <w:tcW w:w="4508" w:type="dxa"/>
          </w:tcPr>
          <w:p w14:paraId="6239A177" w14:textId="1AD81483" w:rsidR="00322BEC" w:rsidRPr="00CF148D" w:rsidRDefault="00DE703D" w:rsidP="00DE703D">
            <w:pPr>
              <w:jc w:val="right"/>
              <w:rPr>
                <w:rFonts w:cstheme="minorHAnsi"/>
                <w:b/>
                <w:bCs/>
                <w:sz w:val="24"/>
                <w:szCs w:val="24"/>
              </w:rPr>
            </w:pPr>
            <w:r w:rsidRPr="00CF148D">
              <w:rPr>
                <w:rFonts w:cstheme="minorHAnsi"/>
                <w:b/>
                <w:bCs/>
                <w:sz w:val="24"/>
                <w:szCs w:val="24"/>
              </w:rPr>
              <w:t>4</w:t>
            </w:r>
          </w:p>
        </w:tc>
      </w:tr>
      <w:tr w:rsidR="00322BEC" w:rsidRPr="00CF148D" w14:paraId="606F763F" w14:textId="77777777" w:rsidTr="00CF148D">
        <w:tc>
          <w:tcPr>
            <w:tcW w:w="4508" w:type="dxa"/>
          </w:tcPr>
          <w:p w14:paraId="0D91BE93" w14:textId="00D94115" w:rsidR="00322BEC" w:rsidRDefault="00926F36" w:rsidP="00DE703D">
            <w:pPr>
              <w:pStyle w:val="ListParagraph"/>
              <w:numPr>
                <w:ilvl w:val="0"/>
                <w:numId w:val="33"/>
              </w:numPr>
              <w:ind w:left="457"/>
              <w:jc w:val="both"/>
              <w:rPr>
                <w:rFonts w:cstheme="minorHAnsi"/>
                <w:sz w:val="24"/>
                <w:szCs w:val="24"/>
              </w:rPr>
            </w:pPr>
            <w:hyperlink w:anchor="Geography" w:history="1">
              <w:r w:rsidR="00322BEC" w:rsidRPr="00CF148D">
                <w:rPr>
                  <w:rStyle w:val="Hyperlink"/>
                  <w:rFonts w:cstheme="minorHAnsi"/>
                  <w:sz w:val="24"/>
                  <w:szCs w:val="24"/>
                </w:rPr>
                <w:t>Geography</w:t>
              </w:r>
            </w:hyperlink>
          </w:p>
          <w:p w14:paraId="4F2BA19E" w14:textId="0DFBBD16" w:rsidR="00CF148D" w:rsidRPr="00CF148D" w:rsidRDefault="00CF148D" w:rsidP="00CF148D">
            <w:pPr>
              <w:pStyle w:val="ListParagraph"/>
              <w:ind w:left="457"/>
              <w:jc w:val="both"/>
              <w:rPr>
                <w:rFonts w:cstheme="minorHAnsi"/>
                <w:sz w:val="24"/>
                <w:szCs w:val="24"/>
              </w:rPr>
            </w:pPr>
          </w:p>
        </w:tc>
        <w:tc>
          <w:tcPr>
            <w:tcW w:w="4508" w:type="dxa"/>
          </w:tcPr>
          <w:p w14:paraId="57E3FD0B" w14:textId="6E97AD85" w:rsidR="00322BEC" w:rsidRPr="00CF148D" w:rsidRDefault="00DE703D" w:rsidP="00DE703D">
            <w:pPr>
              <w:jc w:val="right"/>
              <w:rPr>
                <w:rFonts w:cstheme="minorHAnsi"/>
                <w:b/>
                <w:bCs/>
                <w:sz w:val="24"/>
                <w:szCs w:val="24"/>
              </w:rPr>
            </w:pPr>
            <w:r w:rsidRPr="00CF148D">
              <w:rPr>
                <w:rFonts w:cstheme="minorHAnsi"/>
                <w:b/>
                <w:bCs/>
                <w:sz w:val="24"/>
                <w:szCs w:val="24"/>
              </w:rPr>
              <w:t>5</w:t>
            </w:r>
          </w:p>
        </w:tc>
      </w:tr>
      <w:tr w:rsidR="00322BEC" w:rsidRPr="00CF148D" w14:paraId="00FF8C14" w14:textId="77777777" w:rsidTr="00CF148D">
        <w:tc>
          <w:tcPr>
            <w:tcW w:w="4508" w:type="dxa"/>
          </w:tcPr>
          <w:p w14:paraId="233E70D7" w14:textId="1AFA8FE0" w:rsidR="00322BEC" w:rsidRDefault="00926F36" w:rsidP="00DE703D">
            <w:pPr>
              <w:pStyle w:val="ListParagraph"/>
              <w:numPr>
                <w:ilvl w:val="0"/>
                <w:numId w:val="33"/>
              </w:numPr>
              <w:ind w:left="457"/>
              <w:jc w:val="both"/>
              <w:rPr>
                <w:rFonts w:cstheme="minorHAnsi"/>
                <w:sz w:val="24"/>
                <w:szCs w:val="24"/>
              </w:rPr>
            </w:pPr>
            <w:hyperlink w:anchor="Ethnicity" w:history="1">
              <w:r w:rsidR="00322BEC" w:rsidRPr="00CF148D">
                <w:rPr>
                  <w:rStyle w:val="Hyperlink"/>
                  <w:rFonts w:cstheme="minorHAnsi"/>
                  <w:sz w:val="24"/>
                  <w:szCs w:val="24"/>
                </w:rPr>
                <w:t>Ethnicity</w:t>
              </w:r>
            </w:hyperlink>
          </w:p>
          <w:p w14:paraId="2F183444" w14:textId="2B48CF1E" w:rsidR="00CF148D" w:rsidRPr="00CF148D" w:rsidRDefault="00CF148D" w:rsidP="00CF148D">
            <w:pPr>
              <w:pStyle w:val="ListParagraph"/>
              <w:ind w:left="457"/>
              <w:jc w:val="both"/>
              <w:rPr>
                <w:rFonts w:cstheme="minorHAnsi"/>
                <w:sz w:val="24"/>
                <w:szCs w:val="24"/>
              </w:rPr>
            </w:pPr>
          </w:p>
        </w:tc>
        <w:tc>
          <w:tcPr>
            <w:tcW w:w="4508" w:type="dxa"/>
          </w:tcPr>
          <w:p w14:paraId="4E99E553" w14:textId="4BE8AF8B" w:rsidR="00322BEC" w:rsidRPr="00CF148D" w:rsidRDefault="00DE703D" w:rsidP="00DE703D">
            <w:pPr>
              <w:jc w:val="right"/>
              <w:rPr>
                <w:rFonts w:cstheme="minorHAnsi"/>
                <w:b/>
                <w:bCs/>
                <w:sz w:val="24"/>
                <w:szCs w:val="24"/>
              </w:rPr>
            </w:pPr>
            <w:r w:rsidRPr="00CF148D">
              <w:rPr>
                <w:rFonts w:cstheme="minorHAnsi"/>
                <w:b/>
                <w:bCs/>
                <w:sz w:val="24"/>
                <w:szCs w:val="24"/>
              </w:rPr>
              <w:t>7</w:t>
            </w:r>
          </w:p>
        </w:tc>
      </w:tr>
      <w:tr w:rsidR="00322BEC" w:rsidRPr="00CF148D" w14:paraId="2A928C42" w14:textId="77777777" w:rsidTr="00CF148D">
        <w:tc>
          <w:tcPr>
            <w:tcW w:w="4508" w:type="dxa"/>
          </w:tcPr>
          <w:p w14:paraId="7D5F4E84" w14:textId="1785F576" w:rsidR="00322BEC" w:rsidRDefault="00926F36" w:rsidP="00DE703D">
            <w:pPr>
              <w:pStyle w:val="ListParagraph"/>
              <w:numPr>
                <w:ilvl w:val="0"/>
                <w:numId w:val="33"/>
              </w:numPr>
              <w:ind w:left="457"/>
              <w:jc w:val="both"/>
              <w:rPr>
                <w:rFonts w:cstheme="minorHAnsi"/>
                <w:sz w:val="24"/>
                <w:szCs w:val="24"/>
              </w:rPr>
            </w:pPr>
            <w:hyperlink w:anchor="Category" w:history="1">
              <w:r w:rsidR="00322BEC" w:rsidRPr="00CF148D">
                <w:rPr>
                  <w:rStyle w:val="Hyperlink"/>
                  <w:rFonts w:cstheme="minorHAnsi"/>
                  <w:sz w:val="24"/>
                  <w:szCs w:val="24"/>
                </w:rPr>
                <w:t>Prison Category/Function</w:t>
              </w:r>
            </w:hyperlink>
          </w:p>
          <w:p w14:paraId="66AD9675" w14:textId="2D7BB1C3" w:rsidR="00CF148D" w:rsidRPr="00CF148D" w:rsidRDefault="00CF148D" w:rsidP="00CF148D">
            <w:pPr>
              <w:pStyle w:val="ListParagraph"/>
              <w:ind w:left="457"/>
              <w:jc w:val="both"/>
              <w:rPr>
                <w:rFonts w:cstheme="minorHAnsi"/>
                <w:sz w:val="24"/>
                <w:szCs w:val="24"/>
              </w:rPr>
            </w:pPr>
          </w:p>
        </w:tc>
        <w:tc>
          <w:tcPr>
            <w:tcW w:w="4508" w:type="dxa"/>
          </w:tcPr>
          <w:p w14:paraId="2C71F361" w14:textId="38A33473" w:rsidR="00322BEC" w:rsidRPr="00CF148D" w:rsidRDefault="00DE703D" w:rsidP="00DE703D">
            <w:pPr>
              <w:jc w:val="right"/>
              <w:rPr>
                <w:rFonts w:cstheme="minorHAnsi"/>
                <w:b/>
                <w:bCs/>
                <w:sz w:val="24"/>
                <w:szCs w:val="24"/>
              </w:rPr>
            </w:pPr>
            <w:r w:rsidRPr="00CF148D">
              <w:rPr>
                <w:rFonts w:cstheme="minorHAnsi"/>
                <w:b/>
                <w:bCs/>
                <w:sz w:val="24"/>
                <w:szCs w:val="24"/>
              </w:rPr>
              <w:t>9</w:t>
            </w:r>
          </w:p>
        </w:tc>
      </w:tr>
      <w:tr w:rsidR="00322BEC" w:rsidRPr="00CF148D" w14:paraId="3DC17D4A" w14:textId="77777777" w:rsidTr="00CF148D">
        <w:tc>
          <w:tcPr>
            <w:tcW w:w="4508" w:type="dxa"/>
          </w:tcPr>
          <w:p w14:paraId="532F699A" w14:textId="3606F005" w:rsidR="00322BEC" w:rsidRDefault="00926F36" w:rsidP="00DE703D">
            <w:pPr>
              <w:pStyle w:val="ListParagraph"/>
              <w:numPr>
                <w:ilvl w:val="0"/>
                <w:numId w:val="33"/>
              </w:numPr>
              <w:ind w:left="457"/>
              <w:jc w:val="both"/>
              <w:rPr>
                <w:rFonts w:cstheme="minorHAnsi"/>
                <w:sz w:val="24"/>
                <w:szCs w:val="24"/>
              </w:rPr>
            </w:pPr>
            <w:hyperlink w:anchor="Age" w:history="1">
              <w:r w:rsidR="00322BEC" w:rsidRPr="00CF148D">
                <w:rPr>
                  <w:rStyle w:val="Hyperlink"/>
                  <w:rFonts w:cstheme="minorHAnsi"/>
                  <w:sz w:val="24"/>
                  <w:szCs w:val="24"/>
                </w:rPr>
                <w:t>Age</w:t>
              </w:r>
              <w:r w:rsidR="00DE703D" w:rsidRPr="00CF148D">
                <w:rPr>
                  <w:rStyle w:val="Hyperlink"/>
                  <w:rFonts w:cstheme="minorHAnsi"/>
                  <w:sz w:val="24"/>
                  <w:szCs w:val="24"/>
                </w:rPr>
                <w:t xml:space="preserve"> and </w:t>
              </w:r>
              <w:r w:rsidR="00322BEC" w:rsidRPr="00CF148D">
                <w:rPr>
                  <w:rStyle w:val="Hyperlink"/>
                  <w:rFonts w:cstheme="minorHAnsi"/>
                  <w:sz w:val="24"/>
                  <w:szCs w:val="24"/>
                </w:rPr>
                <w:t>Gender</w:t>
              </w:r>
            </w:hyperlink>
          </w:p>
          <w:p w14:paraId="531B8669" w14:textId="4C54257F" w:rsidR="00CF148D" w:rsidRPr="00CF148D" w:rsidRDefault="00CF148D" w:rsidP="00CF148D">
            <w:pPr>
              <w:pStyle w:val="ListParagraph"/>
              <w:ind w:left="457"/>
              <w:jc w:val="both"/>
              <w:rPr>
                <w:rFonts w:cstheme="minorHAnsi"/>
                <w:sz w:val="24"/>
                <w:szCs w:val="24"/>
              </w:rPr>
            </w:pPr>
          </w:p>
        </w:tc>
        <w:tc>
          <w:tcPr>
            <w:tcW w:w="4508" w:type="dxa"/>
          </w:tcPr>
          <w:p w14:paraId="62003A17" w14:textId="2B1A3234" w:rsidR="00322BEC" w:rsidRPr="00CF148D" w:rsidRDefault="00DE703D" w:rsidP="00DE703D">
            <w:pPr>
              <w:jc w:val="right"/>
              <w:rPr>
                <w:rFonts w:cstheme="minorHAnsi"/>
                <w:b/>
                <w:bCs/>
                <w:sz w:val="24"/>
                <w:szCs w:val="24"/>
              </w:rPr>
            </w:pPr>
            <w:r w:rsidRPr="00CF148D">
              <w:rPr>
                <w:rFonts w:cstheme="minorHAnsi"/>
                <w:b/>
                <w:bCs/>
                <w:sz w:val="24"/>
                <w:szCs w:val="24"/>
              </w:rPr>
              <w:t>11</w:t>
            </w:r>
          </w:p>
        </w:tc>
      </w:tr>
      <w:tr w:rsidR="00322BEC" w:rsidRPr="00CF148D" w14:paraId="707726B9" w14:textId="77777777" w:rsidTr="00CF148D">
        <w:tc>
          <w:tcPr>
            <w:tcW w:w="4508" w:type="dxa"/>
          </w:tcPr>
          <w:p w14:paraId="42F0602A" w14:textId="06050AB9" w:rsidR="00322BEC" w:rsidRPr="00CF148D" w:rsidRDefault="00926F36" w:rsidP="00DE703D">
            <w:pPr>
              <w:pStyle w:val="ListParagraph"/>
              <w:numPr>
                <w:ilvl w:val="0"/>
                <w:numId w:val="33"/>
              </w:numPr>
              <w:ind w:left="457"/>
              <w:jc w:val="both"/>
              <w:rPr>
                <w:rFonts w:cstheme="minorHAnsi"/>
                <w:sz w:val="24"/>
                <w:szCs w:val="24"/>
              </w:rPr>
            </w:pPr>
            <w:hyperlink w:anchor="Conclusion" w:history="1">
              <w:r w:rsidR="00322BEC" w:rsidRPr="00CF148D">
                <w:rPr>
                  <w:rStyle w:val="Hyperlink"/>
                  <w:rFonts w:cstheme="minorHAnsi"/>
                  <w:sz w:val="24"/>
                  <w:szCs w:val="24"/>
                </w:rPr>
                <w:t>Conclusion and Recommendations</w:t>
              </w:r>
            </w:hyperlink>
          </w:p>
        </w:tc>
        <w:tc>
          <w:tcPr>
            <w:tcW w:w="4508" w:type="dxa"/>
          </w:tcPr>
          <w:p w14:paraId="1AA614C2" w14:textId="7E958C70" w:rsidR="00322BEC" w:rsidRPr="00CF148D" w:rsidRDefault="00DE703D" w:rsidP="00DE703D">
            <w:pPr>
              <w:jc w:val="right"/>
              <w:rPr>
                <w:rFonts w:cstheme="minorHAnsi"/>
                <w:b/>
                <w:bCs/>
                <w:sz w:val="24"/>
                <w:szCs w:val="24"/>
              </w:rPr>
            </w:pPr>
            <w:r w:rsidRPr="00CF148D">
              <w:rPr>
                <w:rFonts w:cstheme="minorHAnsi"/>
                <w:b/>
                <w:bCs/>
                <w:sz w:val="24"/>
                <w:szCs w:val="24"/>
              </w:rPr>
              <w:t>13</w:t>
            </w:r>
          </w:p>
        </w:tc>
      </w:tr>
    </w:tbl>
    <w:p w14:paraId="10F457B0" w14:textId="7AB3C7E0" w:rsidR="00322BEC" w:rsidRDefault="00322BEC" w:rsidP="00322BEC">
      <w:pPr>
        <w:jc w:val="both"/>
        <w:rPr>
          <w:rFonts w:cstheme="minorHAnsi"/>
        </w:rPr>
      </w:pPr>
      <w:r>
        <w:rPr>
          <w:rFonts w:cstheme="minorHAnsi"/>
        </w:rPr>
        <w:br w:type="page"/>
      </w:r>
    </w:p>
    <w:p w14:paraId="5E07C3A0" w14:textId="1787872E" w:rsidR="00322BEC" w:rsidRPr="00322BEC" w:rsidRDefault="00322BEC" w:rsidP="00322BEC">
      <w:pPr>
        <w:pStyle w:val="ListParagraph"/>
        <w:numPr>
          <w:ilvl w:val="0"/>
          <w:numId w:val="32"/>
        </w:numPr>
        <w:ind w:left="0"/>
        <w:rPr>
          <w:rFonts w:cstheme="minorHAnsi"/>
          <w:b/>
          <w:bCs/>
          <w:sz w:val="24"/>
          <w:szCs w:val="24"/>
          <w:u w:val="single"/>
        </w:rPr>
      </w:pPr>
      <w:bookmarkStart w:id="0" w:name="Intro"/>
      <w:r w:rsidRPr="00322BEC">
        <w:rPr>
          <w:rFonts w:cstheme="minorHAnsi"/>
          <w:b/>
          <w:bCs/>
          <w:sz w:val="24"/>
          <w:szCs w:val="24"/>
          <w:u w:val="single"/>
        </w:rPr>
        <w:lastRenderedPageBreak/>
        <w:t>Introduction</w:t>
      </w:r>
    </w:p>
    <w:bookmarkEnd w:id="0"/>
    <w:p w14:paraId="1A0A604F" w14:textId="77777777" w:rsidR="00322BEC" w:rsidRDefault="00322BEC">
      <w:pPr>
        <w:rPr>
          <w:rFonts w:cstheme="minorHAnsi"/>
        </w:rPr>
      </w:pPr>
    </w:p>
    <w:p w14:paraId="65C7D78C" w14:textId="3305B5FF" w:rsidR="00322BEC" w:rsidRDefault="00647261" w:rsidP="00322BEC">
      <w:pPr>
        <w:pStyle w:val="ListParagraph"/>
        <w:numPr>
          <w:ilvl w:val="1"/>
          <w:numId w:val="31"/>
        </w:numPr>
        <w:ind w:left="0"/>
        <w:rPr>
          <w:rFonts w:cstheme="minorHAnsi"/>
        </w:rPr>
      </w:pPr>
      <w:r>
        <w:rPr>
          <w:rFonts w:cstheme="minorHAnsi"/>
        </w:rPr>
        <w:t xml:space="preserve">This thematic review </w:t>
      </w:r>
      <w:r w:rsidR="005C1138" w:rsidRPr="00322BEC">
        <w:rPr>
          <w:rFonts w:cstheme="minorHAnsi"/>
        </w:rPr>
        <w:t>analys</w:t>
      </w:r>
      <w:r>
        <w:rPr>
          <w:rFonts w:cstheme="minorHAnsi"/>
        </w:rPr>
        <w:t>es</w:t>
      </w:r>
      <w:r w:rsidR="005C1138" w:rsidRPr="00322BEC">
        <w:rPr>
          <w:rFonts w:cstheme="minorHAnsi"/>
        </w:rPr>
        <w:t xml:space="preserve"> </w:t>
      </w:r>
      <w:r>
        <w:rPr>
          <w:rFonts w:cstheme="minorHAnsi"/>
        </w:rPr>
        <w:t xml:space="preserve">vaccine hesitancy by exploring </w:t>
      </w:r>
      <w:r w:rsidR="005C1138" w:rsidRPr="00322BEC">
        <w:rPr>
          <w:rFonts w:cstheme="minorHAnsi"/>
        </w:rPr>
        <w:t xml:space="preserve">those prisons with the highest </w:t>
      </w:r>
      <w:r w:rsidR="00E6635D" w:rsidRPr="00322BEC">
        <w:rPr>
          <w:rFonts w:cstheme="minorHAnsi"/>
        </w:rPr>
        <w:t xml:space="preserve">vaccination decline </w:t>
      </w:r>
      <w:r w:rsidR="005C1138" w:rsidRPr="00322BEC">
        <w:rPr>
          <w:rFonts w:cstheme="minorHAnsi"/>
        </w:rPr>
        <w:t xml:space="preserve">rates </w:t>
      </w:r>
      <w:r w:rsidR="008B1287" w:rsidRPr="00322BEC">
        <w:rPr>
          <w:rFonts w:cstheme="minorHAnsi"/>
        </w:rPr>
        <w:t>to understand themes and trends</w:t>
      </w:r>
      <w:r w:rsidR="000D26ED" w:rsidRPr="00322BEC">
        <w:rPr>
          <w:rFonts w:cstheme="minorHAnsi"/>
        </w:rPr>
        <w:t>,</w:t>
      </w:r>
      <w:r w:rsidR="008B1287" w:rsidRPr="00322BEC">
        <w:rPr>
          <w:rFonts w:cstheme="minorHAnsi"/>
        </w:rPr>
        <w:t xml:space="preserve"> with a view to improv</w:t>
      </w:r>
      <w:r w:rsidR="00382B22" w:rsidRPr="00322BEC">
        <w:rPr>
          <w:rFonts w:cstheme="minorHAnsi"/>
        </w:rPr>
        <w:t>ing</w:t>
      </w:r>
      <w:r w:rsidR="008B1287" w:rsidRPr="00322BEC">
        <w:rPr>
          <w:rFonts w:cstheme="minorHAnsi"/>
        </w:rPr>
        <w:t xml:space="preserve"> </w:t>
      </w:r>
      <w:r w:rsidR="007449DC" w:rsidRPr="00322BEC">
        <w:rPr>
          <w:rFonts w:cstheme="minorHAnsi"/>
        </w:rPr>
        <w:t xml:space="preserve">vaccine uptake across the estate. The prisons </w:t>
      </w:r>
      <w:r w:rsidR="001C1E98" w:rsidRPr="00322BEC">
        <w:rPr>
          <w:rFonts w:cstheme="minorHAnsi"/>
        </w:rPr>
        <w:t xml:space="preserve">in this review </w:t>
      </w:r>
      <w:r w:rsidR="007449DC" w:rsidRPr="00322BEC">
        <w:rPr>
          <w:rFonts w:cstheme="minorHAnsi"/>
        </w:rPr>
        <w:t xml:space="preserve">have been selected </w:t>
      </w:r>
      <w:r w:rsidR="00E6635D" w:rsidRPr="00322BEC">
        <w:rPr>
          <w:rFonts w:cstheme="minorHAnsi"/>
        </w:rPr>
        <w:t>due to</w:t>
      </w:r>
      <w:r w:rsidR="007449DC" w:rsidRPr="00322BEC">
        <w:rPr>
          <w:rFonts w:cstheme="minorHAnsi"/>
        </w:rPr>
        <w:t xml:space="preserve"> having d</w:t>
      </w:r>
      <w:r w:rsidR="00E6635D" w:rsidRPr="00322BEC">
        <w:rPr>
          <w:rFonts w:cstheme="minorHAnsi"/>
        </w:rPr>
        <w:t>ecline rate</w:t>
      </w:r>
      <w:r w:rsidR="002A21A6" w:rsidRPr="00322BEC">
        <w:rPr>
          <w:rFonts w:cstheme="minorHAnsi"/>
        </w:rPr>
        <w:t>s</w:t>
      </w:r>
      <w:r w:rsidR="00E6635D" w:rsidRPr="00322BEC">
        <w:rPr>
          <w:rFonts w:cstheme="minorHAnsi"/>
        </w:rPr>
        <w:t xml:space="preserve"> above 20%</w:t>
      </w:r>
      <w:r w:rsidR="00267C45" w:rsidRPr="00322BEC">
        <w:rPr>
          <w:rFonts w:cstheme="minorHAnsi"/>
        </w:rPr>
        <w:t xml:space="preserve"> as per NHS data</w:t>
      </w:r>
      <w:r w:rsidR="005917CE" w:rsidRPr="00322BEC">
        <w:rPr>
          <w:rFonts w:cstheme="minorHAnsi"/>
        </w:rPr>
        <w:t>.</w:t>
      </w:r>
      <w:r w:rsidR="00213B6D" w:rsidRPr="00322BEC">
        <w:rPr>
          <w:rFonts w:cstheme="minorHAnsi"/>
        </w:rPr>
        <w:t xml:space="preserve"> We have also identified prisons with a </w:t>
      </w:r>
      <w:r w:rsidR="00CA76EC" w:rsidRPr="00322BEC">
        <w:rPr>
          <w:rFonts w:cstheme="minorHAnsi"/>
        </w:rPr>
        <w:t xml:space="preserve">high </w:t>
      </w:r>
      <w:r w:rsidR="00213B6D" w:rsidRPr="00322BEC">
        <w:rPr>
          <w:rFonts w:cstheme="minorHAnsi"/>
        </w:rPr>
        <w:t xml:space="preserve">vaccination </w:t>
      </w:r>
      <w:r w:rsidR="00CA76EC" w:rsidRPr="00322BEC">
        <w:rPr>
          <w:rFonts w:cstheme="minorHAnsi"/>
        </w:rPr>
        <w:t>uptake</w:t>
      </w:r>
      <w:r w:rsidR="00213B6D" w:rsidRPr="00322BEC">
        <w:rPr>
          <w:rFonts w:cstheme="minorHAnsi"/>
        </w:rPr>
        <w:t xml:space="preserve"> rate</w:t>
      </w:r>
      <w:r w:rsidR="00711960" w:rsidRPr="00322BEC">
        <w:rPr>
          <w:rFonts w:cstheme="minorHAnsi"/>
        </w:rPr>
        <w:t xml:space="preserve"> </w:t>
      </w:r>
      <w:r w:rsidR="00213B6D" w:rsidRPr="00322BEC">
        <w:rPr>
          <w:rFonts w:cstheme="minorHAnsi"/>
        </w:rPr>
        <w:t>i</w:t>
      </w:r>
      <w:r w:rsidR="00711960" w:rsidRPr="00322BEC">
        <w:rPr>
          <w:rFonts w:cstheme="minorHAnsi"/>
        </w:rPr>
        <w:t>n</w:t>
      </w:r>
      <w:r w:rsidR="00FD5900" w:rsidRPr="00322BEC">
        <w:rPr>
          <w:rFonts w:cstheme="minorHAnsi"/>
        </w:rPr>
        <w:t xml:space="preserve"> order to</w:t>
      </w:r>
      <w:r w:rsidR="00213B6D" w:rsidRPr="00322BEC">
        <w:rPr>
          <w:rFonts w:cstheme="minorHAnsi"/>
        </w:rPr>
        <w:t xml:space="preserve"> provide a comprehensive comparison and glean any best practice. </w:t>
      </w:r>
    </w:p>
    <w:p w14:paraId="6EBA1331" w14:textId="77777777" w:rsidR="00322BEC" w:rsidRPr="00322BEC" w:rsidRDefault="00322BEC" w:rsidP="00322BEC">
      <w:pPr>
        <w:pStyle w:val="ListParagraph"/>
        <w:ind w:left="0"/>
        <w:rPr>
          <w:rFonts w:cstheme="minorHAnsi"/>
        </w:rPr>
      </w:pPr>
    </w:p>
    <w:p w14:paraId="40E2F703" w14:textId="602E1DC0" w:rsidR="00322BEC" w:rsidRDefault="00213B6D" w:rsidP="00322BEC">
      <w:pPr>
        <w:pStyle w:val="ListParagraph"/>
        <w:numPr>
          <w:ilvl w:val="1"/>
          <w:numId w:val="31"/>
        </w:numPr>
        <w:ind w:left="0"/>
        <w:rPr>
          <w:rFonts w:cstheme="minorHAnsi"/>
        </w:rPr>
      </w:pPr>
      <w:r w:rsidRPr="00322BEC">
        <w:rPr>
          <w:rFonts w:cstheme="minorHAnsi"/>
        </w:rPr>
        <w:t>To</w:t>
      </w:r>
      <w:r w:rsidR="00F1300E" w:rsidRPr="00322BEC">
        <w:rPr>
          <w:rFonts w:cstheme="minorHAnsi"/>
        </w:rPr>
        <w:t xml:space="preserve"> complete this </w:t>
      </w:r>
      <w:r w:rsidRPr="00322BEC">
        <w:rPr>
          <w:rFonts w:cstheme="minorHAnsi"/>
        </w:rPr>
        <w:t>analysis,</w:t>
      </w:r>
      <w:r w:rsidR="00711960" w:rsidRPr="00322BEC">
        <w:rPr>
          <w:rFonts w:cstheme="minorHAnsi"/>
        </w:rPr>
        <w:t xml:space="preserve"> </w:t>
      </w:r>
      <w:r w:rsidR="001C1E98" w:rsidRPr="00322BEC">
        <w:rPr>
          <w:rFonts w:cstheme="minorHAnsi"/>
        </w:rPr>
        <w:t xml:space="preserve">local and national NHS data </w:t>
      </w:r>
      <w:r w:rsidR="00647261">
        <w:rPr>
          <w:rFonts w:cstheme="minorHAnsi"/>
        </w:rPr>
        <w:t xml:space="preserve">has been triangulated </w:t>
      </w:r>
      <w:r w:rsidR="001C1E98" w:rsidRPr="00322BEC">
        <w:rPr>
          <w:rFonts w:cstheme="minorHAnsi"/>
        </w:rPr>
        <w:t xml:space="preserve">for </w:t>
      </w:r>
      <w:r w:rsidR="005676B4" w:rsidRPr="00322BEC">
        <w:rPr>
          <w:rFonts w:cstheme="minorHAnsi"/>
        </w:rPr>
        <w:t>accuracy and</w:t>
      </w:r>
      <w:r w:rsidR="001C1E98" w:rsidRPr="00322BEC">
        <w:rPr>
          <w:rFonts w:cstheme="minorHAnsi"/>
        </w:rPr>
        <w:t xml:space="preserve"> </w:t>
      </w:r>
      <w:r w:rsidR="0042351E" w:rsidRPr="00322BEC">
        <w:rPr>
          <w:rFonts w:cstheme="minorHAnsi"/>
        </w:rPr>
        <w:t>compared this with</w:t>
      </w:r>
      <w:r w:rsidR="00B70B6F" w:rsidRPr="00322BEC">
        <w:rPr>
          <w:rFonts w:cstheme="minorHAnsi"/>
        </w:rPr>
        <w:t xml:space="preserve"> vaccine </w:t>
      </w:r>
      <w:r w:rsidR="00984C90" w:rsidRPr="00322BEC">
        <w:rPr>
          <w:rFonts w:cstheme="minorHAnsi"/>
        </w:rPr>
        <w:t>data</w:t>
      </w:r>
      <w:r w:rsidR="00FB203A" w:rsidRPr="00322BEC">
        <w:rPr>
          <w:rFonts w:cstheme="minorHAnsi"/>
        </w:rPr>
        <w:t xml:space="preserve"> from the</w:t>
      </w:r>
      <w:r w:rsidR="008C6D88" w:rsidRPr="00322BEC">
        <w:rPr>
          <w:rFonts w:cstheme="minorHAnsi"/>
        </w:rPr>
        <w:t xml:space="preserve"> </w:t>
      </w:r>
      <w:r w:rsidR="00FB203A" w:rsidRPr="00322BEC">
        <w:rPr>
          <w:rFonts w:cstheme="minorHAnsi"/>
        </w:rPr>
        <w:t>community</w:t>
      </w:r>
      <w:r w:rsidR="001C1E98" w:rsidRPr="00322BEC">
        <w:rPr>
          <w:rFonts w:cstheme="minorHAnsi"/>
        </w:rPr>
        <w:t>. This supports</w:t>
      </w:r>
      <w:r w:rsidR="00C608EF" w:rsidRPr="00322BEC">
        <w:rPr>
          <w:rFonts w:cstheme="minorHAnsi"/>
        </w:rPr>
        <w:t xml:space="preserve"> a broader understanding of </w:t>
      </w:r>
      <w:r w:rsidR="008C6D88" w:rsidRPr="00322BEC">
        <w:rPr>
          <w:rFonts w:cstheme="minorHAnsi"/>
        </w:rPr>
        <w:t xml:space="preserve">vaccine </w:t>
      </w:r>
      <w:r w:rsidR="00C608EF" w:rsidRPr="00322BEC">
        <w:rPr>
          <w:rFonts w:cstheme="minorHAnsi"/>
        </w:rPr>
        <w:t xml:space="preserve">hesitancy </w:t>
      </w:r>
      <w:r w:rsidR="002A55B0" w:rsidRPr="00322BEC">
        <w:rPr>
          <w:rFonts w:cstheme="minorHAnsi"/>
        </w:rPr>
        <w:t>and</w:t>
      </w:r>
      <w:r w:rsidR="001C1E98" w:rsidRPr="00322BEC">
        <w:rPr>
          <w:rFonts w:cstheme="minorHAnsi"/>
        </w:rPr>
        <w:t xml:space="preserve"> allows us to</w:t>
      </w:r>
      <w:r w:rsidR="002A55B0" w:rsidRPr="00322BEC">
        <w:rPr>
          <w:rFonts w:cstheme="minorHAnsi"/>
        </w:rPr>
        <w:t xml:space="preserve"> establish </w:t>
      </w:r>
      <w:r w:rsidR="00BF5C6D" w:rsidRPr="00322BEC">
        <w:rPr>
          <w:rFonts w:cstheme="minorHAnsi"/>
        </w:rPr>
        <w:t>links and trends</w:t>
      </w:r>
      <w:r w:rsidR="002A55B0" w:rsidRPr="00322BEC">
        <w:rPr>
          <w:rFonts w:cstheme="minorHAnsi"/>
        </w:rPr>
        <w:t xml:space="preserve"> between </w:t>
      </w:r>
      <w:r w:rsidR="00BF5C6D" w:rsidRPr="00322BEC">
        <w:rPr>
          <w:rFonts w:cstheme="minorHAnsi"/>
        </w:rPr>
        <w:t>wider society</w:t>
      </w:r>
      <w:r w:rsidR="002A55B0" w:rsidRPr="00322BEC">
        <w:rPr>
          <w:rFonts w:cstheme="minorHAnsi"/>
        </w:rPr>
        <w:t xml:space="preserve"> and prison</w:t>
      </w:r>
      <w:r w:rsidR="00BF5C6D" w:rsidRPr="00322BEC">
        <w:rPr>
          <w:rFonts w:cstheme="minorHAnsi"/>
        </w:rPr>
        <w:t>s</w:t>
      </w:r>
      <w:r w:rsidR="002A55B0" w:rsidRPr="00322BEC">
        <w:rPr>
          <w:rFonts w:cstheme="minorHAnsi"/>
        </w:rPr>
        <w:t xml:space="preserve">. </w:t>
      </w:r>
    </w:p>
    <w:p w14:paraId="706ABD2F" w14:textId="77777777" w:rsidR="00322BEC" w:rsidRPr="00322BEC" w:rsidRDefault="00322BEC" w:rsidP="00322BEC">
      <w:pPr>
        <w:pStyle w:val="ListParagraph"/>
        <w:ind w:left="0"/>
        <w:rPr>
          <w:rFonts w:cstheme="minorHAnsi"/>
        </w:rPr>
      </w:pPr>
    </w:p>
    <w:p w14:paraId="3132C5C9" w14:textId="0C9D8D05" w:rsidR="00322BEC" w:rsidRDefault="00647261" w:rsidP="00322BEC">
      <w:pPr>
        <w:pStyle w:val="ListParagraph"/>
        <w:numPr>
          <w:ilvl w:val="1"/>
          <w:numId w:val="31"/>
        </w:numPr>
        <w:ind w:left="0"/>
        <w:rPr>
          <w:rFonts w:cstheme="minorHAnsi"/>
        </w:rPr>
      </w:pPr>
      <w:r>
        <w:rPr>
          <w:rFonts w:cstheme="minorHAnsi"/>
        </w:rPr>
        <w:t>F</w:t>
      </w:r>
      <w:r w:rsidR="009902B2" w:rsidRPr="00322BEC">
        <w:rPr>
          <w:rFonts w:cstheme="minorHAnsi"/>
        </w:rPr>
        <w:t>actors</w:t>
      </w:r>
      <w:r w:rsidR="004D391A" w:rsidRPr="00322BEC">
        <w:rPr>
          <w:rFonts w:cstheme="minorHAnsi"/>
        </w:rPr>
        <w:t xml:space="preserve"> such as ethnicity, gender, age, </w:t>
      </w:r>
      <w:r w:rsidR="0042351E" w:rsidRPr="00322BEC">
        <w:rPr>
          <w:rFonts w:cstheme="minorHAnsi"/>
        </w:rPr>
        <w:t>p</w:t>
      </w:r>
      <w:r w:rsidR="004D391A" w:rsidRPr="00322BEC">
        <w:rPr>
          <w:rFonts w:cstheme="minorHAnsi"/>
        </w:rPr>
        <w:t xml:space="preserve">rison </w:t>
      </w:r>
      <w:r w:rsidR="009902B2" w:rsidRPr="00322BEC">
        <w:rPr>
          <w:rFonts w:cstheme="minorHAnsi"/>
        </w:rPr>
        <w:t>function and geography</w:t>
      </w:r>
      <w:r>
        <w:rPr>
          <w:rFonts w:cstheme="minorHAnsi"/>
        </w:rPr>
        <w:t xml:space="preserve"> have been explored</w:t>
      </w:r>
      <w:r w:rsidR="006C74C1" w:rsidRPr="00322BEC">
        <w:rPr>
          <w:rFonts w:cstheme="minorHAnsi"/>
        </w:rPr>
        <w:t>, which have been determined by community research and evidence</w:t>
      </w:r>
      <w:r w:rsidR="00BA0553">
        <w:rPr>
          <w:rFonts w:cstheme="minorHAnsi"/>
        </w:rPr>
        <w:t xml:space="preserve">, including a </w:t>
      </w:r>
      <w:r w:rsidR="00C54A14">
        <w:rPr>
          <w:rFonts w:cstheme="minorHAnsi"/>
        </w:rPr>
        <w:t>large-scale</w:t>
      </w:r>
      <w:r w:rsidR="00BA0553">
        <w:rPr>
          <w:rFonts w:cstheme="minorHAnsi"/>
        </w:rPr>
        <w:t xml:space="preserve"> study into vaccine sentiment to determine anticipated uptake rates</w:t>
      </w:r>
      <w:r w:rsidR="006C74C1" w:rsidRPr="00322BEC">
        <w:rPr>
          <w:rFonts w:cstheme="minorHAnsi"/>
        </w:rPr>
        <w:t>.</w:t>
      </w:r>
      <w:r w:rsidR="000B0BA8" w:rsidRPr="00322BEC">
        <w:rPr>
          <w:rFonts w:cstheme="minorHAnsi"/>
        </w:rPr>
        <w:t xml:space="preserve"> </w:t>
      </w:r>
    </w:p>
    <w:p w14:paraId="701D23A9" w14:textId="77777777" w:rsidR="00322BEC" w:rsidRDefault="00322BEC" w:rsidP="00322BEC">
      <w:pPr>
        <w:pStyle w:val="ListParagraph"/>
        <w:ind w:left="0"/>
        <w:rPr>
          <w:rFonts w:cstheme="minorHAnsi"/>
        </w:rPr>
      </w:pPr>
    </w:p>
    <w:p w14:paraId="064C2AB6" w14:textId="41C29329" w:rsidR="00B70B6F" w:rsidRPr="00322BEC" w:rsidRDefault="00A65C9D" w:rsidP="00322BEC">
      <w:pPr>
        <w:pStyle w:val="ListParagraph"/>
        <w:numPr>
          <w:ilvl w:val="1"/>
          <w:numId w:val="31"/>
        </w:numPr>
        <w:ind w:left="0"/>
        <w:rPr>
          <w:rFonts w:cstheme="minorHAnsi"/>
        </w:rPr>
      </w:pPr>
      <w:r w:rsidRPr="00322BEC">
        <w:rPr>
          <w:rFonts w:cstheme="minorHAnsi"/>
        </w:rPr>
        <w:t>The aim of this review is to utilise findings t</w:t>
      </w:r>
      <w:r w:rsidR="0099529F" w:rsidRPr="00322BEC">
        <w:rPr>
          <w:rFonts w:cstheme="minorHAnsi"/>
        </w:rPr>
        <w:t>o set out a series of recommendations aimed at addressing vaccine hesitancy</w:t>
      </w:r>
      <w:r w:rsidR="00E70F8E" w:rsidRPr="00322BEC">
        <w:rPr>
          <w:rFonts w:cstheme="minorHAnsi"/>
        </w:rPr>
        <w:t xml:space="preserve"> and</w:t>
      </w:r>
      <w:r w:rsidR="0099529F" w:rsidRPr="00322BEC">
        <w:rPr>
          <w:rFonts w:cstheme="minorHAnsi"/>
        </w:rPr>
        <w:t xml:space="preserve"> </w:t>
      </w:r>
      <w:r w:rsidR="00262539" w:rsidRPr="00322BEC">
        <w:rPr>
          <w:rFonts w:cstheme="minorHAnsi"/>
        </w:rPr>
        <w:t>to</w:t>
      </w:r>
      <w:r w:rsidR="00E70F8E" w:rsidRPr="00322BEC">
        <w:rPr>
          <w:rFonts w:cstheme="minorHAnsi"/>
        </w:rPr>
        <w:t xml:space="preserve"> assist with meeting</w:t>
      </w:r>
      <w:r w:rsidR="001C1E98" w:rsidRPr="00322BEC">
        <w:rPr>
          <w:rFonts w:cstheme="minorHAnsi"/>
        </w:rPr>
        <w:t xml:space="preserve"> the</w:t>
      </w:r>
      <w:r w:rsidR="00E70F8E" w:rsidRPr="00322BEC">
        <w:rPr>
          <w:rFonts w:cstheme="minorHAnsi"/>
        </w:rPr>
        <w:t xml:space="preserve"> P</w:t>
      </w:r>
      <w:r w:rsidR="001C1E98" w:rsidRPr="00322BEC">
        <w:rPr>
          <w:rFonts w:cstheme="minorHAnsi"/>
        </w:rPr>
        <w:t xml:space="preserve">ublic </w:t>
      </w:r>
      <w:r w:rsidR="00E70F8E" w:rsidRPr="00322BEC">
        <w:rPr>
          <w:rFonts w:cstheme="minorHAnsi"/>
        </w:rPr>
        <w:t>H</w:t>
      </w:r>
      <w:r w:rsidR="001C1E98" w:rsidRPr="00322BEC">
        <w:rPr>
          <w:rFonts w:cstheme="minorHAnsi"/>
        </w:rPr>
        <w:t xml:space="preserve">ealth </w:t>
      </w:r>
      <w:r w:rsidR="00E70F8E" w:rsidRPr="00322BEC">
        <w:rPr>
          <w:rFonts w:cstheme="minorHAnsi"/>
        </w:rPr>
        <w:t>E</w:t>
      </w:r>
      <w:r w:rsidR="001C1E98" w:rsidRPr="00322BEC">
        <w:rPr>
          <w:rFonts w:cstheme="minorHAnsi"/>
        </w:rPr>
        <w:t xml:space="preserve">ngland (PHE) </w:t>
      </w:r>
      <w:r w:rsidR="005676B4" w:rsidRPr="00322BEC">
        <w:rPr>
          <w:rFonts w:cstheme="minorHAnsi"/>
        </w:rPr>
        <w:t xml:space="preserve">target </w:t>
      </w:r>
      <w:r w:rsidR="00E70F8E" w:rsidRPr="00322BEC">
        <w:rPr>
          <w:rFonts w:cstheme="minorHAnsi"/>
        </w:rPr>
        <w:t>of 90% or more</w:t>
      </w:r>
      <w:r w:rsidR="00486F81" w:rsidRPr="00322BEC">
        <w:rPr>
          <w:rFonts w:cstheme="minorHAnsi"/>
        </w:rPr>
        <w:t xml:space="preserve"> </w:t>
      </w:r>
      <w:r w:rsidR="0099529F" w:rsidRPr="00322BEC">
        <w:rPr>
          <w:rFonts w:cstheme="minorHAnsi"/>
        </w:rPr>
        <w:t>p</w:t>
      </w:r>
      <w:r w:rsidR="00486F81" w:rsidRPr="00322BEC">
        <w:rPr>
          <w:rFonts w:cstheme="minorHAnsi"/>
        </w:rPr>
        <w:t>risoners vaccinated</w:t>
      </w:r>
      <w:r w:rsidR="006979E5" w:rsidRPr="00322BEC">
        <w:rPr>
          <w:rFonts w:cstheme="minorHAnsi"/>
        </w:rPr>
        <w:t xml:space="preserve">. </w:t>
      </w:r>
      <w:r w:rsidR="00322BEC" w:rsidRPr="00322BEC">
        <w:rPr>
          <w:rFonts w:cstheme="minorHAnsi"/>
        </w:rPr>
        <w:t>This target has been set w</w:t>
      </w:r>
      <w:r w:rsidR="006979E5" w:rsidRPr="00322BEC">
        <w:rPr>
          <w:rFonts w:cstheme="minorHAnsi"/>
        </w:rPr>
        <w:t xml:space="preserve">ith a view </w:t>
      </w:r>
      <w:r w:rsidR="00486F81" w:rsidRPr="00322BEC">
        <w:rPr>
          <w:rFonts w:cstheme="minorHAnsi"/>
        </w:rPr>
        <w:t xml:space="preserve">to </w:t>
      </w:r>
      <w:r w:rsidR="00E70F8E" w:rsidRPr="00322BEC">
        <w:rPr>
          <w:rFonts w:cstheme="minorHAnsi"/>
        </w:rPr>
        <w:t>reduce transmission</w:t>
      </w:r>
      <w:r w:rsidR="00322BEC" w:rsidRPr="00322BEC">
        <w:rPr>
          <w:rFonts w:cstheme="minorHAnsi"/>
        </w:rPr>
        <w:t xml:space="preserve"> and</w:t>
      </w:r>
      <w:r w:rsidR="00E70F8E" w:rsidRPr="00322BEC">
        <w:rPr>
          <w:rFonts w:cstheme="minorHAnsi"/>
        </w:rPr>
        <w:t xml:space="preserve"> prevent </w:t>
      </w:r>
      <w:r w:rsidR="00486F81" w:rsidRPr="00322BEC">
        <w:rPr>
          <w:rFonts w:cstheme="minorHAnsi"/>
        </w:rPr>
        <w:t>outbreaks</w:t>
      </w:r>
      <w:r w:rsidR="00322BEC" w:rsidRPr="00322BEC">
        <w:rPr>
          <w:rFonts w:cstheme="minorHAnsi"/>
        </w:rPr>
        <w:t>, which should allow HMPPS to safely</w:t>
      </w:r>
      <w:r w:rsidR="00486F81" w:rsidRPr="00322BEC">
        <w:rPr>
          <w:rFonts w:cstheme="minorHAnsi"/>
        </w:rPr>
        <w:t xml:space="preserve"> progress the regime</w:t>
      </w:r>
      <w:r w:rsidR="00FE5AC8">
        <w:rPr>
          <w:rFonts w:cstheme="minorHAnsi"/>
        </w:rPr>
        <w:t xml:space="preserve"> in prisons</w:t>
      </w:r>
      <w:r w:rsidR="00486F81" w:rsidRPr="00322BEC">
        <w:rPr>
          <w:rFonts w:cstheme="minorHAnsi"/>
        </w:rPr>
        <w:t xml:space="preserve">. </w:t>
      </w:r>
    </w:p>
    <w:p w14:paraId="20F86C34" w14:textId="77777777" w:rsidR="00322BEC" w:rsidRDefault="00322BEC" w:rsidP="009C1AA9">
      <w:pPr>
        <w:rPr>
          <w:rFonts w:cstheme="minorHAnsi"/>
        </w:rPr>
      </w:pPr>
    </w:p>
    <w:p w14:paraId="41DF3D67" w14:textId="28D8502B" w:rsidR="00322BEC" w:rsidRPr="00322BEC" w:rsidRDefault="00322BEC" w:rsidP="00322BEC">
      <w:pPr>
        <w:pStyle w:val="ListParagraph"/>
        <w:numPr>
          <w:ilvl w:val="0"/>
          <w:numId w:val="32"/>
        </w:numPr>
        <w:ind w:left="0"/>
        <w:rPr>
          <w:rFonts w:cstheme="minorHAnsi"/>
          <w:b/>
          <w:bCs/>
          <w:sz w:val="24"/>
          <w:szCs w:val="24"/>
          <w:u w:val="single"/>
        </w:rPr>
      </w:pPr>
      <w:bookmarkStart w:id="1" w:name="Decline"/>
      <w:r w:rsidRPr="00322BEC">
        <w:rPr>
          <w:rFonts w:cstheme="minorHAnsi"/>
          <w:b/>
          <w:bCs/>
          <w:sz w:val="24"/>
          <w:szCs w:val="24"/>
          <w:u w:val="single"/>
        </w:rPr>
        <w:t>High Decline Rate Sites</w:t>
      </w:r>
    </w:p>
    <w:bookmarkEnd w:id="1"/>
    <w:p w14:paraId="5C5F8A6E" w14:textId="77777777" w:rsidR="00322BEC" w:rsidRDefault="00322BEC" w:rsidP="009C1AA9">
      <w:pPr>
        <w:rPr>
          <w:rFonts w:cstheme="minorHAnsi"/>
        </w:rPr>
      </w:pPr>
    </w:p>
    <w:p w14:paraId="32A91DE0" w14:textId="4E60E355" w:rsidR="00322BEC" w:rsidRDefault="00957C97" w:rsidP="00AE5626">
      <w:pPr>
        <w:pStyle w:val="ListParagraph"/>
        <w:numPr>
          <w:ilvl w:val="1"/>
          <w:numId w:val="32"/>
        </w:numPr>
        <w:ind w:left="0"/>
        <w:rPr>
          <w:rFonts w:cstheme="minorHAnsi"/>
        </w:rPr>
      </w:pPr>
      <w:r w:rsidRPr="00322BEC">
        <w:rPr>
          <w:rFonts w:cstheme="minorHAnsi"/>
        </w:rPr>
        <w:t xml:space="preserve">In this review those sites with a vaccine decline rate of over 20% based on NHS data from </w:t>
      </w:r>
      <w:r w:rsidR="00DF748F" w:rsidRPr="00322BEC">
        <w:rPr>
          <w:rFonts w:cstheme="minorHAnsi"/>
        </w:rPr>
        <w:t>8</w:t>
      </w:r>
      <w:r w:rsidR="00DF748F" w:rsidRPr="00322BEC">
        <w:rPr>
          <w:rFonts w:cstheme="minorHAnsi"/>
          <w:vertAlign w:val="superscript"/>
        </w:rPr>
        <w:t>th</w:t>
      </w:r>
      <w:r w:rsidR="00DF748F" w:rsidRPr="00322BEC">
        <w:rPr>
          <w:rFonts w:cstheme="minorHAnsi"/>
        </w:rPr>
        <w:t xml:space="preserve"> March 2021</w:t>
      </w:r>
      <w:r w:rsidR="00647261">
        <w:rPr>
          <w:rFonts w:cstheme="minorHAnsi"/>
        </w:rPr>
        <w:t xml:space="preserve"> have been identified</w:t>
      </w:r>
      <w:r w:rsidRPr="00322BEC">
        <w:rPr>
          <w:rFonts w:cstheme="minorHAnsi"/>
        </w:rPr>
        <w:t xml:space="preserve">. This </w:t>
      </w:r>
      <w:r w:rsidR="00647261">
        <w:rPr>
          <w:rFonts w:cstheme="minorHAnsi"/>
        </w:rPr>
        <w:t>highlighted</w:t>
      </w:r>
      <w:r w:rsidRPr="00322BEC">
        <w:rPr>
          <w:rFonts w:cstheme="minorHAnsi"/>
        </w:rPr>
        <w:t xml:space="preserve"> 26 sites across the country to base </w:t>
      </w:r>
      <w:r w:rsidR="00647261">
        <w:rPr>
          <w:rFonts w:cstheme="minorHAnsi"/>
        </w:rPr>
        <w:t>the</w:t>
      </w:r>
      <w:r w:rsidRPr="00322BEC">
        <w:rPr>
          <w:rFonts w:cstheme="minorHAnsi"/>
        </w:rPr>
        <w:t xml:space="preserve"> thematic review on</w:t>
      </w:r>
      <w:r w:rsidR="005676B4" w:rsidRPr="00322BEC">
        <w:rPr>
          <w:rFonts w:cstheme="minorHAnsi"/>
        </w:rPr>
        <w:t>;</w:t>
      </w:r>
      <w:r w:rsidRPr="00322BEC">
        <w:rPr>
          <w:rFonts w:cstheme="minorHAnsi"/>
        </w:rPr>
        <w:t xml:space="preserve"> from these 26 prisons</w:t>
      </w:r>
      <w:r w:rsidR="005676B4" w:rsidRPr="00322BEC">
        <w:rPr>
          <w:rFonts w:cstheme="minorHAnsi"/>
        </w:rPr>
        <w:t>,</w:t>
      </w:r>
      <w:r w:rsidRPr="00322BEC">
        <w:rPr>
          <w:rFonts w:cstheme="minorHAnsi"/>
        </w:rPr>
        <w:t xml:space="preserve"> </w:t>
      </w:r>
      <w:r w:rsidR="00E75BDF" w:rsidRPr="00322BEC">
        <w:rPr>
          <w:rFonts w:cstheme="minorHAnsi"/>
        </w:rPr>
        <w:t>20</w:t>
      </w:r>
      <w:r w:rsidRPr="00322BEC">
        <w:rPr>
          <w:rFonts w:cstheme="minorHAnsi"/>
        </w:rPr>
        <w:t xml:space="preserve"> replied to our queries and provided local decline rate data. Data from local </w:t>
      </w:r>
      <w:r w:rsidR="00D0500D" w:rsidRPr="00322BEC">
        <w:rPr>
          <w:rFonts w:cstheme="minorHAnsi"/>
        </w:rPr>
        <w:t>h</w:t>
      </w:r>
      <w:r w:rsidRPr="00322BEC">
        <w:rPr>
          <w:rFonts w:cstheme="minorHAnsi"/>
        </w:rPr>
        <w:t>ealthcare providers has enabled a more comprehensive overview of decline rates, whilst exposing some weakness</w:t>
      </w:r>
      <w:r w:rsidR="00FE5AC8">
        <w:rPr>
          <w:rFonts w:cstheme="minorHAnsi"/>
        </w:rPr>
        <w:t>es</w:t>
      </w:r>
      <w:r w:rsidRPr="00322BEC">
        <w:rPr>
          <w:rFonts w:cstheme="minorHAnsi"/>
        </w:rPr>
        <w:t xml:space="preserve"> in central data. </w:t>
      </w:r>
    </w:p>
    <w:p w14:paraId="5456014C" w14:textId="77777777" w:rsidR="00AE5626" w:rsidRPr="00322BEC" w:rsidRDefault="00AE5626" w:rsidP="00AE5626">
      <w:pPr>
        <w:pStyle w:val="ListParagraph"/>
        <w:ind w:left="0"/>
        <w:rPr>
          <w:rFonts w:cstheme="minorHAnsi"/>
        </w:rPr>
      </w:pPr>
    </w:p>
    <w:p w14:paraId="6C4E8C6D" w14:textId="1C4DD849" w:rsidR="00322BEC" w:rsidRPr="00AE5626" w:rsidRDefault="00AE5626" w:rsidP="00AE5626">
      <w:pPr>
        <w:pStyle w:val="ListParagraph"/>
        <w:numPr>
          <w:ilvl w:val="1"/>
          <w:numId w:val="32"/>
        </w:numPr>
        <w:ind w:left="0"/>
        <w:rPr>
          <w:rFonts w:cstheme="minorHAnsi"/>
        </w:rPr>
      </w:pPr>
      <w:r w:rsidRPr="004C15C7">
        <w:rPr>
          <w:noProof/>
        </w:rPr>
        <w:drawing>
          <wp:anchor distT="0" distB="0" distL="114300" distR="114300" simplePos="0" relativeHeight="251662343" behindDoc="0" locked="0" layoutInCell="1" allowOverlap="1" wp14:anchorId="5A126FA9" wp14:editId="3113F60A">
            <wp:simplePos x="0" y="0"/>
            <wp:positionH relativeFrom="margin">
              <wp:align>center</wp:align>
            </wp:positionH>
            <wp:positionV relativeFrom="paragraph">
              <wp:posOffset>752475</wp:posOffset>
            </wp:positionV>
            <wp:extent cx="6214745" cy="2768600"/>
            <wp:effectExtent l="0" t="0" r="14605" b="12700"/>
            <wp:wrapTopAndBottom/>
            <wp:docPr id="3" name="Chart 3">
              <a:extLst xmlns:a="http://schemas.openxmlformats.org/drawingml/2006/main">
                <a:ext uri="{FF2B5EF4-FFF2-40B4-BE49-F238E27FC236}">
                  <a16:creationId xmlns:a16="http://schemas.microsoft.com/office/drawing/2014/main" id="{A0A9B441-06E2-4B37-B1A2-A8A67F59F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957C97" w:rsidRPr="00AE5626">
        <w:rPr>
          <w:rFonts w:cstheme="minorHAnsi"/>
        </w:rPr>
        <w:t>The graph below shows the decline rate</w:t>
      </w:r>
      <w:r w:rsidR="009D0150" w:rsidRPr="00AE5626">
        <w:rPr>
          <w:rFonts w:cstheme="minorHAnsi"/>
        </w:rPr>
        <w:t>s</w:t>
      </w:r>
      <w:r w:rsidR="00957C97" w:rsidRPr="00AE5626">
        <w:rPr>
          <w:rFonts w:cstheme="minorHAnsi"/>
        </w:rPr>
        <w:t xml:space="preserve"> of the </w:t>
      </w:r>
      <w:r w:rsidR="00E75BDF" w:rsidRPr="00AE5626">
        <w:rPr>
          <w:rFonts w:cstheme="minorHAnsi"/>
        </w:rPr>
        <w:t>20</w:t>
      </w:r>
      <w:r w:rsidR="00957C97" w:rsidRPr="00AE5626">
        <w:rPr>
          <w:rFonts w:cstheme="minorHAnsi"/>
        </w:rPr>
        <w:t xml:space="preserve"> prisons, comparing NHS and local data. There is up to a 19%</w:t>
      </w:r>
      <w:r w:rsidR="00647261">
        <w:rPr>
          <w:rFonts w:cstheme="minorHAnsi"/>
        </w:rPr>
        <w:t xml:space="preserve"> difference</w:t>
      </w:r>
      <w:r w:rsidR="00957C97" w:rsidRPr="00AE5626">
        <w:rPr>
          <w:rFonts w:cstheme="minorHAnsi"/>
        </w:rPr>
        <w:t xml:space="preserve"> between the NHS </w:t>
      </w:r>
      <w:r w:rsidR="001B58EB" w:rsidRPr="00AE5626">
        <w:rPr>
          <w:rFonts w:cstheme="minorHAnsi"/>
        </w:rPr>
        <w:t>and the</w:t>
      </w:r>
      <w:r w:rsidR="00957C97" w:rsidRPr="00AE5626">
        <w:rPr>
          <w:rFonts w:cstheme="minorHAnsi"/>
        </w:rPr>
        <w:t xml:space="preserve"> local data</w:t>
      </w:r>
      <w:r w:rsidR="005676B4" w:rsidRPr="00AE5626">
        <w:rPr>
          <w:rFonts w:cstheme="minorHAnsi"/>
        </w:rPr>
        <w:t>,</w:t>
      </w:r>
      <w:r w:rsidR="00957C97" w:rsidRPr="00AE5626">
        <w:rPr>
          <w:rFonts w:cstheme="minorHAnsi"/>
        </w:rPr>
        <w:t xml:space="preserve"> with this averaging at</w:t>
      </w:r>
      <w:r w:rsidR="00467D27" w:rsidRPr="00AE5626">
        <w:rPr>
          <w:rFonts w:cstheme="minorHAnsi"/>
        </w:rPr>
        <w:t xml:space="preserve"> </w:t>
      </w:r>
      <w:r w:rsidR="005676B4" w:rsidRPr="00AE5626">
        <w:rPr>
          <w:rFonts w:cstheme="minorHAnsi"/>
        </w:rPr>
        <w:t xml:space="preserve">a </w:t>
      </w:r>
      <w:r w:rsidR="00467D27" w:rsidRPr="00AE5626">
        <w:rPr>
          <w:rFonts w:cstheme="minorHAnsi"/>
        </w:rPr>
        <w:t>7</w:t>
      </w:r>
      <w:r w:rsidR="00957C97" w:rsidRPr="00AE5626">
        <w:rPr>
          <w:rFonts w:cstheme="minorHAnsi"/>
        </w:rPr>
        <w:t xml:space="preserve">% </w:t>
      </w:r>
      <w:r w:rsidR="00647261">
        <w:rPr>
          <w:rFonts w:cstheme="minorHAnsi"/>
        </w:rPr>
        <w:t>difference</w:t>
      </w:r>
      <w:r w:rsidR="001B58EB" w:rsidRPr="00AE5626">
        <w:rPr>
          <w:rFonts w:cstheme="minorHAnsi"/>
        </w:rPr>
        <w:t xml:space="preserve">, </w:t>
      </w:r>
      <w:r w:rsidR="00FE5AC8">
        <w:rPr>
          <w:rFonts w:cstheme="minorHAnsi"/>
        </w:rPr>
        <w:t>either higher or lower</w:t>
      </w:r>
      <w:r w:rsidR="001B58EB" w:rsidRPr="00AE5626">
        <w:rPr>
          <w:rFonts w:cstheme="minorHAnsi"/>
        </w:rPr>
        <w:t>,</w:t>
      </w:r>
      <w:r w:rsidR="005676B4" w:rsidRPr="00AE5626">
        <w:rPr>
          <w:rFonts w:cstheme="minorHAnsi"/>
        </w:rPr>
        <w:t xml:space="preserve"> </w:t>
      </w:r>
      <w:r w:rsidR="00957C97" w:rsidRPr="00AE5626">
        <w:rPr>
          <w:rFonts w:cstheme="minorHAnsi"/>
        </w:rPr>
        <w:t xml:space="preserve">across the </w:t>
      </w:r>
      <w:r w:rsidR="00906584" w:rsidRPr="00AE5626">
        <w:rPr>
          <w:rFonts w:cstheme="minorHAnsi"/>
        </w:rPr>
        <w:t>20</w:t>
      </w:r>
      <w:r w:rsidR="00957C97" w:rsidRPr="00AE5626">
        <w:rPr>
          <w:rFonts w:cstheme="minorHAnsi"/>
        </w:rPr>
        <w:t xml:space="preserve"> sites</w:t>
      </w:r>
      <w:r w:rsidR="005676B4" w:rsidRPr="00AE5626">
        <w:rPr>
          <w:rFonts w:cstheme="minorHAnsi"/>
        </w:rPr>
        <w:t>.</w:t>
      </w:r>
      <w:r w:rsidR="00FE5AC8">
        <w:rPr>
          <w:rFonts w:cstheme="minorHAnsi"/>
        </w:rPr>
        <w:t xml:space="preserve"> This can be seen in </w:t>
      </w:r>
      <w:r w:rsidR="005A1BE3">
        <w:rPr>
          <w:rFonts w:cstheme="minorHAnsi"/>
        </w:rPr>
        <w:t>the table</w:t>
      </w:r>
      <w:r w:rsidR="00C54A14">
        <w:rPr>
          <w:rFonts w:cstheme="minorHAnsi"/>
        </w:rPr>
        <w:t xml:space="preserve"> </w:t>
      </w:r>
      <w:r w:rsidR="00FE5AC8">
        <w:rPr>
          <w:rFonts w:cstheme="minorHAnsi"/>
        </w:rPr>
        <w:t xml:space="preserve">below. </w:t>
      </w:r>
    </w:p>
    <w:p w14:paraId="37426268" w14:textId="4F2A60B0" w:rsidR="00AE5626" w:rsidRPr="00515F93" w:rsidRDefault="00CF148D" w:rsidP="00515F93">
      <w:pPr>
        <w:pStyle w:val="ListParagraph"/>
        <w:numPr>
          <w:ilvl w:val="0"/>
          <w:numId w:val="32"/>
        </w:numPr>
        <w:ind w:left="0"/>
        <w:rPr>
          <w:rFonts w:cstheme="minorHAnsi"/>
          <w:b/>
          <w:bCs/>
          <w:u w:val="single"/>
        </w:rPr>
      </w:pPr>
      <w:bookmarkStart w:id="2" w:name="Uptake"/>
      <w:r w:rsidRPr="00515F93">
        <w:rPr>
          <w:rFonts w:cstheme="minorHAnsi"/>
          <w:b/>
          <w:bCs/>
          <w:sz w:val="24"/>
          <w:szCs w:val="24"/>
          <w:u w:val="single"/>
        </w:rPr>
        <w:br w:type="page"/>
      </w:r>
      <w:r w:rsidR="00AE5626" w:rsidRPr="00515F93">
        <w:rPr>
          <w:rFonts w:cstheme="minorHAnsi"/>
          <w:b/>
          <w:bCs/>
          <w:sz w:val="24"/>
          <w:szCs w:val="24"/>
          <w:u w:val="single"/>
        </w:rPr>
        <w:lastRenderedPageBreak/>
        <w:t>High Uptake Rate Sites</w:t>
      </w:r>
    </w:p>
    <w:bookmarkEnd w:id="2"/>
    <w:p w14:paraId="1970613F" w14:textId="77777777" w:rsidR="00AE5626" w:rsidRPr="00AE5626" w:rsidRDefault="00AE5626" w:rsidP="00AE5626">
      <w:pPr>
        <w:pStyle w:val="ListParagraph"/>
        <w:rPr>
          <w:rFonts w:cstheme="minorHAnsi"/>
        </w:rPr>
      </w:pPr>
    </w:p>
    <w:p w14:paraId="43AEE80B" w14:textId="2517717F" w:rsidR="00AE5626" w:rsidRDefault="001C1E98" w:rsidP="00AE5626">
      <w:pPr>
        <w:pStyle w:val="ListParagraph"/>
        <w:numPr>
          <w:ilvl w:val="1"/>
          <w:numId w:val="32"/>
        </w:numPr>
        <w:ind w:left="0"/>
        <w:rPr>
          <w:rFonts w:cstheme="minorHAnsi"/>
        </w:rPr>
      </w:pPr>
      <w:r w:rsidRPr="00AE5626">
        <w:rPr>
          <w:rFonts w:cstheme="minorHAnsi"/>
        </w:rPr>
        <w:t xml:space="preserve">The same exercise was repeated for </w:t>
      </w:r>
      <w:r w:rsidR="00E65CA6" w:rsidRPr="00AE5626">
        <w:rPr>
          <w:rFonts w:cstheme="minorHAnsi"/>
        </w:rPr>
        <w:t xml:space="preserve">12 </w:t>
      </w:r>
      <w:r w:rsidR="002C287E" w:rsidRPr="00AE5626">
        <w:rPr>
          <w:rFonts w:cstheme="minorHAnsi"/>
        </w:rPr>
        <w:t>prisons with the</w:t>
      </w:r>
      <w:r w:rsidRPr="00AE5626">
        <w:rPr>
          <w:rFonts w:cstheme="minorHAnsi"/>
        </w:rPr>
        <w:t xml:space="preserve"> highest </w:t>
      </w:r>
      <w:r w:rsidR="002C287E" w:rsidRPr="00AE5626">
        <w:rPr>
          <w:rFonts w:cstheme="minorHAnsi"/>
        </w:rPr>
        <w:t>vaccine uptake rates</w:t>
      </w:r>
      <w:r w:rsidR="00E65CA6" w:rsidRPr="00AE5626">
        <w:rPr>
          <w:rFonts w:cstheme="minorHAnsi"/>
        </w:rPr>
        <w:t>,</w:t>
      </w:r>
      <w:r w:rsidR="005676B4" w:rsidRPr="00AE5626">
        <w:rPr>
          <w:rFonts w:cstheme="minorHAnsi"/>
        </w:rPr>
        <w:t xml:space="preserve"> </w:t>
      </w:r>
      <w:r w:rsidR="00FE5AC8">
        <w:rPr>
          <w:rFonts w:cstheme="minorHAnsi"/>
        </w:rPr>
        <w:t>six</w:t>
      </w:r>
      <w:r w:rsidR="00E65CA6" w:rsidRPr="00AE5626">
        <w:rPr>
          <w:rFonts w:cstheme="minorHAnsi"/>
        </w:rPr>
        <w:t xml:space="preserve"> of which have engaged with our </w:t>
      </w:r>
      <w:r w:rsidR="009831A0" w:rsidRPr="00AE5626">
        <w:rPr>
          <w:rFonts w:cstheme="minorHAnsi"/>
        </w:rPr>
        <w:t>enquiries</w:t>
      </w:r>
      <w:r w:rsidR="00A705C1" w:rsidRPr="00AE5626">
        <w:rPr>
          <w:rFonts w:cstheme="minorHAnsi"/>
        </w:rPr>
        <w:t xml:space="preserve">. These </w:t>
      </w:r>
      <w:r w:rsidR="009831A0" w:rsidRPr="00AE5626">
        <w:rPr>
          <w:rFonts w:cstheme="minorHAnsi"/>
        </w:rPr>
        <w:t>sites were</w:t>
      </w:r>
      <w:r w:rsidR="00A705C1" w:rsidRPr="00AE5626">
        <w:rPr>
          <w:rFonts w:cstheme="minorHAnsi"/>
        </w:rPr>
        <w:t xml:space="preserve"> identified through NHS data from </w:t>
      </w:r>
      <w:r w:rsidR="00DF748F" w:rsidRPr="00AE5626">
        <w:rPr>
          <w:rFonts w:cstheme="minorHAnsi"/>
        </w:rPr>
        <w:t>8</w:t>
      </w:r>
      <w:r w:rsidR="00DF748F" w:rsidRPr="00AE5626">
        <w:rPr>
          <w:rFonts w:cstheme="minorHAnsi"/>
          <w:vertAlign w:val="superscript"/>
        </w:rPr>
        <w:t>th</w:t>
      </w:r>
      <w:r w:rsidR="00DF748F" w:rsidRPr="00AE5626">
        <w:rPr>
          <w:rFonts w:cstheme="minorHAnsi"/>
        </w:rPr>
        <w:t xml:space="preserve"> </w:t>
      </w:r>
      <w:r w:rsidR="001B58EB" w:rsidRPr="00AE5626">
        <w:rPr>
          <w:rFonts w:cstheme="minorHAnsi"/>
        </w:rPr>
        <w:t>March</w:t>
      </w:r>
      <w:r w:rsidR="00DF748F" w:rsidRPr="00AE5626">
        <w:rPr>
          <w:rFonts w:cstheme="minorHAnsi"/>
        </w:rPr>
        <w:t xml:space="preserve"> 2021</w:t>
      </w:r>
      <w:r w:rsidR="00A705C1" w:rsidRPr="00AE5626">
        <w:rPr>
          <w:rFonts w:cstheme="minorHAnsi"/>
        </w:rPr>
        <w:t xml:space="preserve">. </w:t>
      </w:r>
    </w:p>
    <w:p w14:paraId="37821A5E" w14:textId="77777777" w:rsidR="00AE5626" w:rsidRPr="00AE5626" w:rsidRDefault="00AE5626" w:rsidP="00AE5626">
      <w:pPr>
        <w:pStyle w:val="ListParagraph"/>
        <w:ind w:left="0"/>
        <w:rPr>
          <w:rFonts w:cstheme="minorHAnsi"/>
        </w:rPr>
      </w:pPr>
    </w:p>
    <w:p w14:paraId="0878C862" w14:textId="51247946" w:rsidR="004D5B85" w:rsidRDefault="00AE5626" w:rsidP="00AE5626">
      <w:pPr>
        <w:pStyle w:val="ListParagraph"/>
        <w:numPr>
          <w:ilvl w:val="1"/>
          <w:numId w:val="32"/>
        </w:numPr>
        <w:ind w:left="0"/>
        <w:rPr>
          <w:rFonts w:cstheme="minorHAnsi"/>
        </w:rPr>
      </w:pPr>
      <w:r w:rsidRPr="002239F2">
        <w:rPr>
          <w:rFonts w:cstheme="minorHAnsi"/>
          <w:b/>
          <w:noProof/>
          <w:sz w:val="24"/>
          <w:szCs w:val="24"/>
          <w:u w:val="single"/>
        </w:rPr>
        <w:drawing>
          <wp:anchor distT="0" distB="0" distL="114300" distR="114300" simplePos="0" relativeHeight="251663367" behindDoc="0" locked="0" layoutInCell="1" allowOverlap="1" wp14:anchorId="6E410825" wp14:editId="5F6DF348">
            <wp:simplePos x="0" y="0"/>
            <wp:positionH relativeFrom="margin">
              <wp:align>center</wp:align>
            </wp:positionH>
            <wp:positionV relativeFrom="paragraph">
              <wp:posOffset>793750</wp:posOffset>
            </wp:positionV>
            <wp:extent cx="6196965" cy="2682240"/>
            <wp:effectExtent l="0" t="0" r="13335" b="3810"/>
            <wp:wrapTopAndBottom/>
            <wp:docPr id="4" name="Chart 4">
              <a:extLst xmlns:a="http://schemas.openxmlformats.org/drawingml/2006/main">
                <a:ext uri="{FF2B5EF4-FFF2-40B4-BE49-F238E27FC236}">
                  <a16:creationId xmlns:a16="http://schemas.microsoft.com/office/drawing/2014/main" id="{DA78977D-2CA0-45BC-9490-485377AE4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D0500D" w:rsidRPr="00AE5626">
        <w:rPr>
          <w:rFonts w:cstheme="minorHAnsi"/>
        </w:rPr>
        <w:t>Again,</w:t>
      </w:r>
      <w:r w:rsidR="005E5BF8" w:rsidRPr="00AE5626">
        <w:rPr>
          <w:rFonts w:cstheme="minorHAnsi"/>
        </w:rPr>
        <w:t xml:space="preserve"> </w:t>
      </w:r>
      <w:r w:rsidR="00A705C1" w:rsidRPr="00AE5626">
        <w:rPr>
          <w:rFonts w:cstheme="minorHAnsi"/>
        </w:rPr>
        <w:t>data</w:t>
      </w:r>
      <w:r w:rsidR="00515F93">
        <w:rPr>
          <w:rFonts w:cstheme="minorHAnsi"/>
        </w:rPr>
        <w:t xml:space="preserve"> has been collated</w:t>
      </w:r>
      <w:r w:rsidR="00A705C1" w:rsidRPr="00AE5626">
        <w:rPr>
          <w:rFonts w:cstheme="minorHAnsi"/>
        </w:rPr>
        <w:t xml:space="preserve"> from local healthcare providers at individual prisons to give us a more comprehensive overview of the data</w:t>
      </w:r>
      <w:r w:rsidR="00BB5371" w:rsidRPr="00AE5626">
        <w:rPr>
          <w:rFonts w:cstheme="minorHAnsi"/>
        </w:rPr>
        <w:t>.</w:t>
      </w:r>
      <w:r w:rsidR="00E65CA6" w:rsidRPr="00AE5626">
        <w:rPr>
          <w:rFonts w:cstheme="minorHAnsi"/>
        </w:rPr>
        <w:t xml:space="preserve"> </w:t>
      </w:r>
      <w:r w:rsidR="008E7F94" w:rsidRPr="00AE5626">
        <w:rPr>
          <w:rFonts w:cstheme="minorHAnsi"/>
        </w:rPr>
        <w:t xml:space="preserve">There are </w:t>
      </w:r>
      <w:r w:rsidR="00DF5864" w:rsidRPr="00AE5626">
        <w:rPr>
          <w:rFonts w:cstheme="minorHAnsi"/>
        </w:rPr>
        <w:t>discrepancies between the NHS and local data with up</w:t>
      </w:r>
      <w:r w:rsidR="009831A0" w:rsidRPr="00AE5626">
        <w:rPr>
          <w:rFonts w:cstheme="minorHAnsi"/>
        </w:rPr>
        <w:t xml:space="preserve"> </w:t>
      </w:r>
      <w:r w:rsidR="00DF5864" w:rsidRPr="00AE5626">
        <w:rPr>
          <w:rFonts w:cstheme="minorHAnsi"/>
        </w:rPr>
        <w:t xml:space="preserve">to a </w:t>
      </w:r>
      <w:r w:rsidR="00467D27" w:rsidRPr="00AE5626">
        <w:rPr>
          <w:rFonts w:cstheme="minorHAnsi"/>
        </w:rPr>
        <w:t>27</w:t>
      </w:r>
      <w:r w:rsidR="00DF5864" w:rsidRPr="00AE5626">
        <w:rPr>
          <w:rFonts w:cstheme="minorHAnsi"/>
        </w:rPr>
        <w:t xml:space="preserve">% </w:t>
      </w:r>
      <w:r w:rsidR="00515F93">
        <w:rPr>
          <w:rFonts w:cstheme="minorHAnsi"/>
        </w:rPr>
        <w:t>difference</w:t>
      </w:r>
      <w:r w:rsidR="009831A0" w:rsidRPr="00AE5626">
        <w:rPr>
          <w:rFonts w:cstheme="minorHAnsi"/>
        </w:rPr>
        <w:t xml:space="preserve"> </w:t>
      </w:r>
      <w:r w:rsidR="00DF5864" w:rsidRPr="00AE5626">
        <w:rPr>
          <w:rFonts w:cstheme="minorHAnsi"/>
        </w:rPr>
        <w:t>averag</w:t>
      </w:r>
      <w:r w:rsidR="009831A0" w:rsidRPr="00AE5626">
        <w:rPr>
          <w:rFonts w:cstheme="minorHAnsi"/>
        </w:rPr>
        <w:t>ing</w:t>
      </w:r>
      <w:r w:rsidR="00DF5864" w:rsidRPr="00AE5626">
        <w:rPr>
          <w:rFonts w:cstheme="minorHAnsi"/>
        </w:rPr>
        <w:t xml:space="preserve"> </w:t>
      </w:r>
      <w:r w:rsidR="00D0500D" w:rsidRPr="00AE5626">
        <w:rPr>
          <w:rFonts w:cstheme="minorHAnsi"/>
        </w:rPr>
        <w:t xml:space="preserve">at a </w:t>
      </w:r>
      <w:r w:rsidR="00467D27" w:rsidRPr="00AE5626">
        <w:rPr>
          <w:rFonts w:cstheme="minorHAnsi"/>
        </w:rPr>
        <w:t>13</w:t>
      </w:r>
      <w:r w:rsidR="00DF5864" w:rsidRPr="00AE5626">
        <w:rPr>
          <w:rFonts w:cstheme="minorHAnsi"/>
        </w:rPr>
        <w:t>%</w:t>
      </w:r>
      <w:r w:rsidR="009831A0" w:rsidRPr="00AE5626">
        <w:rPr>
          <w:rFonts w:cstheme="minorHAnsi"/>
        </w:rPr>
        <w:t xml:space="preserve"> upward swing in decline rates across the</w:t>
      </w:r>
      <w:r w:rsidR="00D0500D" w:rsidRPr="00AE5626">
        <w:rPr>
          <w:rFonts w:cstheme="minorHAnsi"/>
        </w:rPr>
        <w:t xml:space="preserve"> </w:t>
      </w:r>
      <w:r w:rsidR="00780E49">
        <w:rPr>
          <w:rFonts w:cstheme="minorHAnsi"/>
        </w:rPr>
        <w:t>six</w:t>
      </w:r>
      <w:r w:rsidR="009831A0" w:rsidRPr="00AE5626">
        <w:rPr>
          <w:rFonts w:cstheme="minorHAnsi"/>
        </w:rPr>
        <w:t xml:space="preserve"> sites</w:t>
      </w:r>
      <w:r w:rsidR="00467D27" w:rsidRPr="00AE5626">
        <w:rPr>
          <w:rFonts w:cstheme="minorHAnsi"/>
        </w:rPr>
        <w:t>.</w:t>
      </w:r>
      <w:r w:rsidR="00A705C1" w:rsidRPr="00AE5626">
        <w:rPr>
          <w:rFonts w:cstheme="minorHAnsi"/>
        </w:rPr>
        <w:t xml:space="preserve"> </w:t>
      </w:r>
      <w:r w:rsidR="002C287E" w:rsidRPr="00AE5626">
        <w:rPr>
          <w:rFonts w:cstheme="minorHAnsi"/>
        </w:rPr>
        <w:t xml:space="preserve">  </w:t>
      </w:r>
    </w:p>
    <w:p w14:paraId="16FDC07D" w14:textId="77777777" w:rsidR="005A1BE3" w:rsidRDefault="005A1BE3" w:rsidP="00382249">
      <w:pPr>
        <w:rPr>
          <w:rFonts w:cstheme="minorHAnsi"/>
          <w:bCs/>
        </w:rPr>
      </w:pPr>
    </w:p>
    <w:p w14:paraId="0A074927" w14:textId="749F1BE3" w:rsidR="008D3B3B" w:rsidRPr="00AE5626" w:rsidRDefault="008D3B3B" w:rsidP="00382249">
      <w:pPr>
        <w:rPr>
          <w:rFonts w:cstheme="minorHAnsi"/>
          <w:b/>
          <w:color w:val="000000" w:themeColor="text1"/>
          <w:sz w:val="24"/>
          <w:szCs w:val="24"/>
        </w:rPr>
      </w:pPr>
      <w:r w:rsidRPr="00AE5626">
        <w:rPr>
          <w:rFonts w:cstheme="minorHAnsi"/>
          <w:b/>
          <w:color w:val="000000" w:themeColor="text1"/>
          <w:sz w:val="24"/>
          <w:szCs w:val="24"/>
        </w:rPr>
        <w:t xml:space="preserve">What is the Data Telling </w:t>
      </w:r>
      <w:r w:rsidR="00AE5626">
        <w:rPr>
          <w:rFonts w:cstheme="minorHAnsi"/>
          <w:b/>
          <w:color w:val="000000" w:themeColor="text1"/>
          <w:sz w:val="24"/>
          <w:szCs w:val="24"/>
        </w:rPr>
        <w:t>U</w:t>
      </w:r>
      <w:r w:rsidRPr="00AE5626">
        <w:rPr>
          <w:rFonts w:cstheme="minorHAnsi"/>
          <w:b/>
          <w:color w:val="000000" w:themeColor="text1"/>
          <w:sz w:val="24"/>
          <w:szCs w:val="24"/>
        </w:rPr>
        <w:t>s?</w:t>
      </w:r>
    </w:p>
    <w:p w14:paraId="5DA33B86" w14:textId="5A2F781E" w:rsidR="00AE5626" w:rsidRPr="00AE5626" w:rsidRDefault="001C1E98" w:rsidP="00AE5626">
      <w:pPr>
        <w:pStyle w:val="ListParagraph"/>
        <w:numPr>
          <w:ilvl w:val="1"/>
          <w:numId w:val="32"/>
        </w:numPr>
        <w:ind w:left="0"/>
        <w:rPr>
          <w:rFonts w:cstheme="minorHAnsi"/>
        </w:rPr>
      </w:pPr>
      <w:r w:rsidRPr="00AE5626">
        <w:rPr>
          <w:rFonts w:cstheme="minorHAnsi"/>
        </w:rPr>
        <w:t>To</w:t>
      </w:r>
      <w:r w:rsidR="005959BB" w:rsidRPr="00AE5626">
        <w:rPr>
          <w:rFonts w:cstheme="minorHAnsi"/>
        </w:rPr>
        <w:t xml:space="preserve"> be</w:t>
      </w:r>
      <w:r w:rsidR="00D7060E" w:rsidRPr="00AE5626">
        <w:rPr>
          <w:rFonts w:cstheme="minorHAnsi"/>
        </w:rPr>
        <w:t>t</w:t>
      </w:r>
      <w:r w:rsidR="005959BB" w:rsidRPr="00AE5626">
        <w:rPr>
          <w:rFonts w:cstheme="minorHAnsi"/>
        </w:rPr>
        <w:t>ter understand the</w:t>
      </w:r>
      <w:r w:rsidR="001853C6" w:rsidRPr="00AE5626">
        <w:rPr>
          <w:rFonts w:cstheme="minorHAnsi"/>
        </w:rPr>
        <w:t xml:space="preserve"> </w:t>
      </w:r>
      <w:r w:rsidR="005959BB" w:rsidRPr="00AE5626">
        <w:rPr>
          <w:rFonts w:cstheme="minorHAnsi"/>
        </w:rPr>
        <w:t>data</w:t>
      </w:r>
      <w:r w:rsidR="001853C6" w:rsidRPr="00AE5626">
        <w:rPr>
          <w:rFonts w:cstheme="minorHAnsi"/>
        </w:rPr>
        <w:t xml:space="preserve"> across the pr</w:t>
      </w:r>
      <w:r w:rsidR="0005252E" w:rsidRPr="00AE5626">
        <w:rPr>
          <w:rFonts w:cstheme="minorHAnsi"/>
        </w:rPr>
        <w:t>ison estate</w:t>
      </w:r>
      <w:r w:rsidR="005959BB" w:rsidRPr="00AE5626">
        <w:rPr>
          <w:rFonts w:cstheme="minorHAnsi"/>
        </w:rPr>
        <w:t xml:space="preserve"> we have </w:t>
      </w:r>
      <w:r w:rsidR="00D7060E" w:rsidRPr="00AE5626">
        <w:rPr>
          <w:rFonts w:cstheme="minorHAnsi"/>
        </w:rPr>
        <w:t>looked across a selection of sub</w:t>
      </w:r>
      <w:r w:rsidRPr="00AE5626">
        <w:rPr>
          <w:rFonts w:cstheme="minorHAnsi"/>
        </w:rPr>
        <w:t>-</w:t>
      </w:r>
      <w:r w:rsidR="00D7060E" w:rsidRPr="00AE5626">
        <w:rPr>
          <w:rFonts w:cstheme="minorHAnsi"/>
        </w:rPr>
        <w:t>categories</w:t>
      </w:r>
      <w:r w:rsidRPr="00AE5626">
        <w:rPr>
          <w:rFonts w:cstheme="minorHAnsi"/>
        </w:rPr>
        <w:t xml:space="preserve">. These </w:t>
      </w:r>
      <w:r w:rsidR="00D7060E" w:rsidRPr="00AE5626">
        <w:rPr>
          <w:rFonts w:cstheme="minorHAnsi"/>
        </w:rPr>
        <w:t xml:space="preserve">provide granularity </w:t>
      </w:r>
      <w:r w:rsidR="001B3304" w:rsidRPr="00AE5626">
        <w:rPr>
          <w:rFonts w:cstheme="minorHAnsi"/>
        </w:rPr>
        <w:t>within the data analysis</w:t>
      </w:r>
      <w:r w:rsidR="006536FC" w:rsidRPr="00AE5626">
        <w:rPr>
          <w:rFonts w:cstheme="minorHAnsi"/>
        </w:rPr>
        <w:t xml:space="preserve"> and establish any trends</w:t>
      </w:r>
      <w:r w:rsidR="00957C97" w:rsidRPr="00AE5626">
        <w:rPr>
          <w:rFonts w:cstheme="minorHAnsi"/>
        </w:rPr>
        <w:t>, with a</w:t>
      </w:r>
      <w:r w:rsidR="006D0758" w:rsidRPr="00AE5626">
        <w:rPr>
          <w:rFonts w:cstheme="minorHAnsi"/>
        </w:rPr>
        <w:t xml:space="preserve"> </w:t>
      </w:r>
      <w:r w:rsidR="00957C97" w:rsidRPr="00AE5626">
        <w:rPr>
          <w:rFonts w:cstheme="minorHAnsi"/>
        </w:rPr>
        <w:t>view of combating vaccine hesitancy</w:t>
      </w:r>
      <w:r w:rsidR="001B3304" w:rsidRPr="00AE5626">
        <w:rPr>
          <w:rFonts w:cstheme="minorHAnsi"/>
        </w:rPr>
        <w:t xml:space="preserve">. </w:t>
      </w:r>
      <w:r w:rsidRPr="00AE5626">
        <w:rPr>
          <w:rFonts w:cstheme="minorHAnsi"/>
        </w:rPr>
        <w:t>Findings by sub-category are set out below.</w:t>
      </w:r>
    </w:p>
    <w:p w14:paraId="596EFDDA" w14:textId="601340A1" w:rsidR="00541ED1" w:rsidRPr="00AE5626" w:rsidRDefault="001C1E98" w:rsidP="00AE5626">
      <w:pPr>
        <w:pStyle w:val="ListParagraph"/>
        <w:rPr>
          <w:rFonts w:cstheme="minorHAnsi"/>
        </w:rPr>
      </w:pPr>
      <w:r w:rsidRPr="00AE5626">
        <w:rPr>
          <w:rFonts w:cstheme="minorHAnsi"/>
        </w:rPr>
        <w:t xml:space="preserve"> </w:t>
      </w:r>
    </w:p>
    <w:p w14:paraId="2F7345C7" w14:textId="77777777" w:rsidR="00AE5626" w:rsidRDefault="00AE5626">
      <w:pPr>
        <w:rPr>
          <w:rFonts w:cstheme="minorHAnsi"/>
          <w:bCs/>
          <w:color w:val="000000" w:themeColor="text1"/>
          <w:sz w:val="32"/>
          <w:szCs w:val="32"/>
        </w:rPr>
      </w:pPr>
      <w:r>
        <w:rPr>
          <w:rFonts w:cstheme="minorHAnsi"/>
          <w:bCs/>
          <w:color w:val="000000" w:themeColor="text1"/>
          <w:sz w:val="32"/>
          <w:szCs w:val="32"/>
        </w:rPr>
        <w:br w:type="page"/>
      </w:r>
    </w:p>
    <w:p w14:paraId="3EBEB341" w14:textId="00E1E22B" w:rsidR="00541ED1" w:rsidRDefault="00541ED1" w:rsidP="00AE5626">
      <w:pPr>
        <w:pStyle w:val="ListParagraph"/>
        <w:numPr>
          <w:ilvl w:val="0"/>
          <w:numId w:val="32"/>
        </w:numPr>
        <w:ind w:left="0"/>
        <w:rPr>
          <w:rFonts w:cstheme="minorHAnsi"/>
          <w:b/>
          <w:color w:val="000000" w:themeColor="text1"/>
          <w:sz w:val="24"/>
          <w:szCs w:val="24"/>
          <w:u w:val="single"/>
        </w:rPr>
      </w:pPr>
      <w:bookmarkStart w:id="3" w:name="Geography"/>
      <w:r w:rsidRPr="00AE5626">
        <w:rPr>
          <w:rFonts w:cstheme="minorHAnsi"/>
          <w:b/>
          <w:color w:val="000000" w:themeColor="text1"/>
          <w:sz w:val="24"/>
          <w:szCs w:val="24"/>
          <w:u w:val="single"/>
        </w:rPr>
        <w:lastRenderedPageBreak/>
        <w:t>Geography</w:t>
      </w:r>
    </w:p>
    <w:bookmarkEnd w:id="3"/>
    <w:p w14:paraId="74AE3EDF" w14:textId="77777777" w:rsidR="00AE5626" w:rsidRDefault="00AE5626" w:rsidP="00AE5626">
      <w:pPr>
        <w:pStyle w:val="ListParagraph"/>
        <w:ind w:left="0"/>
        <w:rPr>
          <w:rFonts w:cstheme="minorHAnsi"/>
          <w:b/>
          <w:color w:val="000000" w:themeColor="text1"/>
          <w:sz w:val="24"/>
          <w:szCs w:val="24"/>
          <w:u w:val="single"/>
        </w:rPr>
      </w:pPr>
    </w:p>
    <w:p w14:paraId="33FD02DA" w14:textId="72D5E913" w:rsidR="00AE5626" w:rsidRDefault="00AE5626" w:rsidP="00AE5626">
      <w:pPr>
        <w:pStyle w:val="ListParagraph"/>
        <w:numPr>
          <w:ilvl w:val="1"/>
          <w:numId w:val="32"/>
        </w:numPr>
        <w:ind w:left="0"/>
        <w:rPr>
          <w:rFonts w:cstheme="minorHAnsi"/>
        </w:rPr>
      </w:pPr>
      <w:r>
        <w:rPr>
          <w:rFonts w:cstheme="minorHAnsi"/>
        </w:rPr>
        <w:t xml:space="preserve">Decline </w:t>
      </w:r>
      <w:r w:rsidRPr="00AE5626">
        <w:rPr>
          <w:rFonts w:cstheme="minorHAnsi"/>
        </w:rPr>
        <w:t>rates among each NHS region have increased significantly between 8</w:t>
      </w:r>
      <w:r w:rsidRPr="00AE5626">
        <w:rPr>
          <w:rFonts w:cstheme="minorHAnsi"/>
          <w:vertAlign w:val="superscript"/>
        </w:rPr>
        <w:t>th</w:t>
      </w:r>
      <w:r w:rsidRPr="00AE5626">
        <w:rPr>
          <w:rFonts w:cstheme="minorHAnsi"/>
        </w:rPr>
        <w:t xml:space="preserve"> March and the 15</w:t>
      </w:r>
      <w:r w:rsidRPr="00AE5626">
        <w:rPr>
          <w:rFonts w:cstheme="minorHAnsi"/>
          <w:vertAlign w:val="superscript"/>
        </w:rPr>
        <w:t>th</w:t>
      </w:r>
      <w:r w:rsidRPr="00AE5626">
        <w:rPr>
          <w:rFonts w:cstheme="minorHAnsi"/>
        </w:rPr>
        <w:t xml:space="preserve"> April 2021.</w:t>
      </w:r>
    </w:p>
    <w:p w14:paraId="0C632483" w14:textId="77777777" w:rsidR="00AE5626" w:rsidRPr="00AE5626" w:rsidRDefault="00AE5626" w:rsidP="00AE5626">
      <w:pPr>
        <w:pStyle w:val="ListParagraph"/>
        <w:rPr>
          <w:rFonts w:cstheme="minorHAnsi"/>
        </w:rPr>
      </w:pPr>
    </w:p>
    <w:p w14:paraId="6A03E430" w14:textId="49DCC627" w:rsidR="00AE5626" w:rsidRPr="00AE5626" w:rsidRDefault="00C260AC" w:rsidP="00AE5626">
      <w:pPr>
        <w:pStyle w:val="ListParagraph"/>
        <w:numPr>
          <w:ilvl w:val="1"/>
          <w:numId w:val="32"/>
        </w:numPr>
        <w:ind w:left="0"/>
        <w:rPr>
          <w:rFonts w:cstheme="minorHAnsi"/>
        </w:rPr>
      </w:pPr>
      <w:r w:rsidRPr="00AE5626">
        <w:rPr>
          <w:rFonts w:cstheme="minorHAnsi"/>
        </w:rPr>
        <w:t xml:space="preserve">From local feedback </w:t>
      </w:r>
      <w:r w:rsidR="00E90A40" w:rsidRPr="00AE5626">
        <w:rPr>
          <w:rFonts w:cstheme="minorHAnsi"/>
        </w:rPr>
        <w:t>this increase in decline</w:t>
      </w:r>
      <w:r w:rsidR="009831A0" w:rsidRPr="00AE5626">
        <w:rPr>
          <w:rFonts w:cstheme="minorHAnsi"/>
        </w:rPr>
        <w:t xml:space="preserve"> rates</w:t>
      </w:r>
      <w:r w:rsidR="00E90A40" w:rsidRPr="00AE5626">
        <w:rPr>
          <w:rFonts w:cstheme="minorHAnsi"/>
        </w:rPr>
        <w:t xml:space="preserve"> </w:t>
      </w:r>
      <w:r w:rsidR="003C3C56" w:rsidRPr="00AE5626">
        <w:rPr>
          <w:rFonts w:cstheme="minorHAnsi"/>
        </w:rPr>
        <w:t xml:space="preserve">is </w:t>
      </w:r>
      <w:r w:rsidR="00E90A40" w:rsidRPr="00AE5626">
        <w:rPr>
          <w:rFonts w:cstheme="minorHAnsi"/>
        </w:rPr>
        <w:t xml:space="preserve">strongly </w:t>
      </w:r>
      <w:r w:rsidR="009831A0" w:rsidRPr="00AE5626">
        <w:rPr>
          <w:rFonts w:cstheme="minorHAnsi"/>
        </w:rPr>
        <w:t>linked</w:t>
      </w:r>
      <w:r w:rsidR="00E90A40" w:rsidRPr="00AE5626">
        <w:rPr>
          <w:rFonts w:cstheme="minorHAnsi"/>
        </w:rPr>
        <w:t xml:space="preserve"> to</w:t>
      </w:r>
      <w:r w:rsidR="00957C97" w:rsidRPr="00AE5626">
        <w:rPr>
          <w:rFonts w:cstheme="minorHAnsi"/>
        </w:rPr>
        <w:t xml:space="preserve"> 16 to </w:t>
      </w:r>
      <w:r w:rsidR="004E5978" w:rsidRPr="00AE5626">
        <w:rPr>
          <w:rFonts w:cstheme="minorHAnsi"/>
        </w:rPr>
        <w:t>64-year</w:t>
      </w:r>
      <w:r w:rsidR="00957C97" w:rsidRPr="00AE5626">
        <w:rPr>
          <w:rFonts w:cstheme="minorHAnsi"/>
        </w:rPr>
        <w:t xml:space="preserve"> olds with underl</w:t>
      </w:r>
      <w:r w:rsidR="005C21BD">
        <w:rPr>
          <w:rFonts w:cstheme="minorHAnsi"/>
        </w:rPr>
        <w:t>y</w:t>
      </w:r>
      <w:r w:rsidR="00957C97" w:rsidRPr="00AE5626">
        <w:rPr>
          <w:rFonts w:cstheme="minorHAnsi"/>
        </w:rPr>
        <w:t>ing health conditions</w:t>
      </w:r>
      <w:r w:rsidR="00D7047C" w:rsidRPr="00AE5626">
        <w:rPr>
          <w:rFonts w:cstheme="minorHAnsi"/>
        </w:rPr>
        <w:t xml:space="preserve"> who represent </w:t>
      </w:r>
      <w:r w:rsidR="00957C97" w:rsidRPr="00AE5626">
        <w:rPr>
          <w:rFonts w:cstheme="minorHAnsi"/>
        </w:rPr>
        <w:t>cohort 6</w:t>
      </w:r>
      <w:r w:rsidR="00D7047C" w:rsidRPr="00AE5626">
        <w:rPr>
          <w:rFonts w:cstheme="minorHAnsi"/>
        </w:rPr>
        <w:t xml:space="preserve">, </w:t>
      </w:r>
      <w:r w:rsidR="009831A0" w:rsidRPr="00AE5626">
        <w:rPr>
          <w:rFonts w:cstheme="minorHAnsi"/>
        </w:rPr>
        <w:t xml:space="preserve">with </w:t>
      </w:r>
      <w:r w:rsidR="00D7047C" w:rsidRPr="00AE5626">
        <w:rPr>
          <w:rFonts w:cstheme="minorHAnsi"/>
        </w:rPr>
        <w:t>local data suggest</w:t>
      </w:r>
      <w:r w:rsidR="009831A0" w:rsidRPr="00AE5626">
        <w:rPr>
          <w:rFonts w:cstheme="minorHAnsi"/>
        </w:rPr>
        <w:t>ing</w:t>
      </w:r>
      <w:r w:rsidR="00D7047C" w:rsidRPr="00AE5626">
        <w:rPr>
          <w:rFonts w:cstheme="minorHAnsi"/>
        </w:rPr>
        <w:t xml:space="preserve"> this is focussed towards the younger end of this age bracket</w:t>
      </w:r>
      <w:r w:rsidR="00CE3A65" w:rsidRPr="00AE5626">
        <w:rPr>
          <w:rFonts w:cstheme="minorHAnsi"/>
        </w:rPr>
        <w:t>.</w:t>
      </w:r>
      <w:r w:rsidR="00CB2BFC" w:rsidRPr="00AE5626">
        <w:rPr>
          <w:rFonts w:cstheme="minorHAnsi"/>
        </w:rPr>
        <w:t xml:space="preserve"> </w:t>
      </w:r>
    </w:p>
    <w:p w14:paraId="4506B4E4" w14:textId="77777777" w:rsidR="00AE5626" w:rsidRPr="00AE5626" w:rsidRDefault="00AE5626" w:rsidP="00AE5626">
      <w:pPr>
        <w:pStyle w:val="ListParagraph"/>
        <w:ind w:left="0"/>
        <w:rPr>
          <w:rFonts w:cstheme="minorHAnsi"/>
        </w:rPr>
      </w:pPr>
    </w:p>
    <w:p w14:paraId="2612798F" w14:textId="69DCED1E" w:rsidR="00AE5626" w:rsidRPr="00AE5626" w:rsidRDefault="00515F93" w:rsidP="00AE5626">
      <w:pPr>
        <w:pStyle w:val="ListParagraph"/>
        <w:numPr>
          <w:ilvl w:val="1"/>
          <w:numId w:val="32"/>
        </w:numPr>
        <w:ind w:left="0"/>
        <w:rPr>
          <w:rFonts w:cstheme="minorHAnsi"/>
        </w:rPr>
      </w:pPr>
      <w:r>
        <w:rPr>
          <w:rFonts w:cstheme="minorHAnsi"/>
        </w:rPr>
        <w:t>In HMPPS research, o</w:t>
      </w:r>
      <w:r w:rsidR="00A8702E" w:rsidRPr="00AE5626">
        <w:rPr>
          <w:rFonts w:cstheme="minorHAnsi"/>
        </w:rPr>
        <w:t>ne of the main reasons</w:t>
      </w:r>
      <w:r w:rsidR="00A0088F" w:rsidRPr="00AE5626">
        <w:rPr>
          <w:rFonts w:cstheme="minorHAnsi"/>
        </w:rPr>
        <w:t xml:space="preserve"> cited f</w:t>
      </w:r>
      <w:r w:rsidR="00F04A59" w:rsidRPr="00AE5626">
        <w:rPr>
          <w:rFonts w:cstheme="minorHAnsi"/>
        </w:rPr>
        <w:t>or prisoner decline</w:t>
      </w:r>
      <w:r w:rsidR="009831A0" w:rsidRPr="00AE5626">
        <w:rPr>
          <w:rFonts w:cstheme="minorHAnsi"/>
        </w:rPr>
        <w:t xml:space="preserve"> has been</w:t>
      </w:r>
      <w:r w:rsidR="001103D7" w:rsidRPr="00AE5626">
        <w:rPr>
          <w:rFonts w:cstheme="minorHAnsi"/>
        </w:rPr>
        <w:t xml:space="preserve"> blood clot fears</w:t>
      </w:r>
      <w:r w:rsidR="0088282F" w:rsidRPr="00AE5626">
        <w:rPr>
          <w:rFonts w:cstheme="minorHAnsi"/>
        </w:rPr>
        <w:t xml:space="preserve">. </w:t>
      </w:r>
      <w:r w:rsidR="008F46A4" w:rsidRPr="00AE5626">
        <w:rPr>
          <w:rFonts w:cstheme="minorHAnsi"/>
        </w:rPr>
        <w:t>The reporting of the link between the AstraZen</w:t>
      </w:r>
      <w:r w:rsidR="001C1E98" w:rsidRPr="00AE5626">
        <w:rPr>
          <w:rFonts w:cstheme="minorHAnsi"/>
        </w:rPr>
        <w:t>e</w:t>
      </w:r>
      <w:r w:rsidR="008F46A4" w:rsidRPr="00AE5626">
        <w:rPr>
          <w:rFonts w:cstheme="minorHAnsi"/>
        </w:rPr>
        <w:t xml:space="preserve">ca vaccine and blood clots </w:t>
      </w:r>
      <w:r w:rsidR="00A8702E" w:rsidRPr="00AE5626">
        <w:rPr>
          <w:rFonts w:cstheme="minorHAnsi"/>
        </w:rPr>
        <w:t>surfaced in early March</w:t>
      </w:r>
      <w:r w:rsidR="005C21BD">
        <w:rPr>
          <w:rFonts w:cstheme="minorHAnsi"/>
        </w:rPr>
        <w:t xml:space="preserve"> 2021</w:t>
      </w:r>
      <w:r w:rsidR="006B1058" w:rsidRPr="00AE5626">
        <w:rPr>
          <w:rFonts w:cstheme="minorHAnsi"/>
        </w:rPr>
        <w:t>,</w:t>
      </w:r>
      <w:r w:rsidR="00A8702E" w:rsidRPr="00AE5626">
        <w:rPr>
          <w:rFonts w:cstheme="minorHAnsi"/>
        </w:rPr>
        <w:t xml:space="preserve"> </w:t>
      </w:r>
      <w:r w:rsidR="0087183C" w:rsidRPr="00AE5626">
        <w:rPr>
          <w:rFonts w:cstheme="minorHAnsi"/>
        </w:rPr>
        <w:t>which would also correlate with the</w:t>
      </w:r>
      <w:r>
        <w:rPr>
          <w:rFonts w:cstheme="minorHAnsi"/>
        </w:rPr>
        <w:t xml:space="preserve"> decrease in vaccination uptake</w:t>
      </w:r>
      <w:r w:rsidR="0087183C" w:rsidRPr="00AE5626">
        <w:rPr>
          <w:rFonts w:cstheme="minorHAnsi"/>
        </w:rPr>
        <w:t xml:space="preserve"> across regions. </w:t>
      </w:r>
    </w:p>
    <w:p w14:paraId="30D3BAE6" w14:textId="77777777" w:rsidR="00AE5626" w:rsidRPr="00AE5626" w:rsidRDefault="00AE5626" w:rsidP="00AE5626">
      <w:pPr>
        <w:pStyle w:val="ListParagraph"/>
        <w:ind w:left="0"/>
        <w:rPr>
          <w:rFonts w:cstheme="minorHAnsi"/>
        </w:rPr>
      </w:pPr>
    </w:p>
    <w:p w14:paraId="78408F17" w14:textId="49DF4042" w:rsidR="00BA02E2" w:rsidRPr="00AE5626" w:rsidRDefault="00BA02E2" w:rsidP="00D7047C">
      <w:pPr>
        <w:pStyle w:val="ListParagraph"/>
        <w:numPr>
          <w:ilvl w:val="1"/>
          <w:numId w:val="32"/>
        </w:numPr>
        <w:ind w:left="0"/>
        <w:rPr>
          <w:rFonts w:cstheme="minorHAnsi"/>
        </w:rPr>
      </w:pPr>
      <w:r w:rsidRPr="00AE5626">
        <w:rPr>
          <w:rFonts w:cstheme="minorHAnsi"/>
        </w:rPr>
        <w:t xml:space="preserve">The below table shows the hesitancy rates by region between the two dates. </w:t>
      </w:r>
    </w:p>
    <w:tbl>
      <w:tblPr>
        <w:tblStyle w:val="TableGrid"/>
        <w:tblpPr w:leftFromText="180" w:rightFromText="180" w:vertAnchor="text" w:horzAnchor="margin" w:tblpY="66"/>
        <w:tblW w:w="8626" w:type="dxa"/>
        <w:tblLook w:val="04A0" w:firstRow="1" w:lastRow="0" w:firstColumn="1" w:lastColumn="0" w:noHBand="0" w:noVBand="1"/>
      </w:tblPr>
      <w:tblGrid>
        <w:gridCol w:w="2972"/>
        <w:gridCol w:w="2835"/>
        <w:gridCol w:w="2819"/>
      </w:tblGrid>
      <w:tr w:rsidR="009831A0" w14:paraId="3BD97181" w14:textId="77777777" w:rsidTr="009831A0">
        <w:trPr>
          <w:trHeight w:val="416"/>
        </w:trPr>
        <w:tc>
          <w:tcPr>
            <w:tcW w:w="2972" w:type="dxa"/>
            <w:shd w:val="clear" w:color="auto" w:fill="7030A0"/>
          </w:tcPr>
          <w:p w14:paraId="5FBE4B08" w14:textId="585AA785" w:rsidR="00BA02E2" w:rsidRPr="00AE5626" w:rsidRDefault="00BA02E2" w:rsidP="009831A0">
            <w:pPr>
              <w:jc w:val="center"/>
              <w:rPr>
                <w:rFonts w:cstheme="minorHAnsi"/>
                <w:color w:val="FFFFFF" w:themeColor="background1"/>
              </w:rPr>
            </w:pPr>
            <w:r w:rsidRPr="00AE5626">
              <w:rPr>
                <w:rFonts w:cstheme="minorHAnsi"/>
                <w:b/>
                <w:color w:val="FFFFFF" w:themeColor="background1"/>
              </w:rPr>
              <w:t xml:space="preserve">NHS </w:t>
            </w:r>
            <w:r w:rsidR="009831A0" w:rsidRPr="00AE5626">
              <w:rPr>
                <w:rFonts w:cstheme="minorHAnsi"/>
                <w:b/>
                <w:color w:val="FFFFFF" w:themeColor="background1"/>
              </w:rPr>
              <w:t>Regions</w:t>
            </w:r>
          </w:p>
        </w:tc>
        <w:tc>
          <w:tcPr>
            <w:tcW w:w="2835" w:type="dxa"/>
            <w:shd w:val="clear" w:color="auto" w:fill="7030A0"/>
          </w:tcPr>
          <w:p w14:paraId="22515E7B" w14:textId="0E44A73B" w:rsidR="00BA02E2" w:rsidRPr="00AE5626" w:rsidRDefault="009831A0" w:rsidP="009831A0">
            <w:pPr>
              <w:jc w:val="center"/>
              <w:rPr>
                <w:rFonts w:cstheme="minorHAnsi"/>
                <w:color w:val="FFFFFF" w:themeColor="background1"/>
              </w:rPr>
            </w:pPr>
            <w:r w:rsidRPr="00AE5626">
              <w:rPr>
                <w:rFonts w:cstheme="minorHAnsi"/>
                <w:b/>
                <w:color w:val="FFFFFF" w:themeColor="background1"/>
              </w:rPr>
              <w:t>Decline Rates</w:t>
            </w:r>
            <w:r w:rsidR="00BA02E2" w:rsidRPr="00AE5626">
              <w:rPr>
                <w:rFonts w:cstheme="minorHAnsi"/>
                <w:b/>
                <w:color w:val="FFFFFF" w:themeColor="background1"/>
              </w:rPr>
              <w:t xml:space="preserve"> 08</w:t>
            </w:r>
            <w:r w:rsidR="004E5978" w:rsidRPr="00AE5626">
              <w:rPr>
                <w:rFonts w:cstheme="minorHAnsi"/>
                <w:b/>
                <w:color w:val="FFFFFF" w:themeColor="background1"/>
              </w:rPr>
              <w:t>.</w:t>
            </w:r>
            <w:r w:rsidR="00BA02E2" w:rsidRPr="00AE5626">
              <w:rPr>
                <w:rFonts w:cstheme="minorHAnsi"/>
                <w:b/>
                <w:color w:val="FFFFFF" w:themeColor="background1"/>
              </w:rPr>
              <w:t>03</w:t>
            </w:r>
            <w:r w:rsidR="004E5978" w:rsidRPr="00AE5626">
              <w:rPr>
                <w:rFonts w:cstheme="minorHAnsi"/>
                <w:b/>
                <w:color w:val="FFFFFF" w:themeColor="background1"/>
              </w:rPr>
              <w:t>.</w:t>
            </w:r>
            <w:r w:rsidR="00BA02E2" w:rsidRPr="00AE5626">
              <w:rPr>
                <w:rFonts w:cstheme="minorHAnsi"/>
                <w:b/>
                <w:color w:val="FFFFFF" w:themeColor="background1"/>
              </w:rPr>
              <w:t>21</w:t>
            </w:r>
          </w:p>
        </w:tc>
        <w:tc>
          <w:tcPr>
            <w:tcW w:w="2819" w:type="dxa"/>
            <w:shd w:val="clear" w:color="auto" w:fill="7030A0"/>
          </w:tcPr>
          <w:p w14:paraId="26A24FBB" w14:textId="2F13C11A" w:rsidR="00BA02E2" w:rsidRPr="00AE5626" w:rsidRDefault="009831A0" w:rsidP="009831A0">
            <w:pPr>
              <w:jc w:val="center"/>
              <w:rPr>
                <w:rFonts w:cstheme="minorHAnsi"/>
                <w:color w:val="FFFFFF" w:themeColor="background1"/>
              </w:rPr>
            </w:pPr>
            <w:r w:rsidRPr="00AE5626">
              <w:rPr>
                <w:rFonts w:cstheme="minorHAnsi"/>
                <w:b/>
                <w:color w:val="FFFFFF" w:themeColor="background1"/>
              </w:rPr>
              <w:t>Decline Rates</w:t>
            </w:r>
            <w:r w:rsidR="00BA02E2" w:rsidRPr="00AE5626">
              <w:rPr>
                <w:rFonts w:cstheme="minorHAnsi"/>
                <w:b/>
                <w:color w:val="FFFFFF" w:themeColor="background1"/>
              </w:rPr>
              <w:t xml:space="preserve"> 15</w:t>
            </w:r>
            <w:r w:rsidR="004E5978" w:rsidRPr="00AE5626">
              <w:rPr>
                <w:rFonts w:cstheme="minorHAnsi"/>
                <w:b/>
                <w:color w:val="FFFFFF" w:themeColor="background1"/>
              </w:rPr>
              <w:t>.</w:t>
            </w:r>
            <w:r w:rsidR="00BA02E2" w:rsidRPr="00AE5626">
              <w:rPr>
                <w:rFonts w:cstheme="minorHAnsi"/>
                <w:b/>
                <w:color w:val="FFFFFF" w:themeColor="background1"/>
              </w:rPr>
              <w:t>04</w:t>
            </w:r>
            <w:r w:rsidR="004E5978" w:rsidRPr="00AE5626">
              <w:rPr>
                <w:rFonts w:cstheme="minorHAnsi"/>
                <w:b/>
                <w:color w:val="FFFFFF" w:themeColor="background1"/>
              </w:rPr>
              <w:t>.</w:t>
            </w:r>
            <w:r w:rsidR="00BA02E2" w:rsidRPr="00AE5626">
              <w:rPr>
                <w:rFonts w:cstheme="minorHAnsi"/>
                <w:b/>
                <w:color w:val="FFFFFF" w:themeColor="background1"/>
              </w:rPr>
              <w:t>21</w:t>
            </w:r>
          </w:p>
        </w:tc>
      </w:tr>
      <w:tr w:rsidR="00BA02E2" w:rsidRPr="00B67AAE" w14:paraId="53CD4483" w14:textId="77777777" w:rsidTr="009831A0">
        <w:trPr>
          <w:trHeight w:val="287"/>
        </w:trPr>
        <w:tc>
          <w:tcPr>
            <w:tcW w:w="2972" w:type="dxa"/>
          </w:tcPr>
          <w:p w14:paraId="1FE44106" w14:textId="77777777" w:rsidR="00BA02E2" w:rsidRPr="00B67AAE" w:rsidRDefault="00BA02E2" w:rsidP="009831A0">
            <w:pPr>
              <w:jc w:val="center"/>
              <w:rPr>
                <w:rFonts w:cstheme="minorHAnsi"/>
              </w:rPr>
            </w:pPr>
            <w:r w:rsidRPr="00B67AAE">
              <w:rPr>
                <w:rFonts w:cstheme="minorHAnsi"/>
              </w:rPr>
              <w:t>East of England</w:t>
            </w:r>
          </w:p>
        </w:tc>
        <w:tc>
          <w:tcPr>
            <w:tcW w:w="2835" w:type="dxa"/>
          </w:tcPr>
          <w:p w14:paraId="129F50E2" w14:textId="77777777" w:rsidR="00BA02E2" w:rsidRPr="00B67AAE" w:rsidRDefault="00BA02E2" w:rsidP="009831A0">
            <w:pPr>
              <w:jc w:val="center"/>
              <w:rPr>
                <w:rFonts w:cstheme="minorHAnsi"/>
              </w:rPr>
            </w:pPr>
            <w:r w:rsidRPr="00B67AAE">
              <w:rPr>
                <w:rFonts w:cstheme="minorHAnsi"/>
              </w:rPr>
              <w:t>9%</w:t>
            </w:r>
          </w:p>
        </w:tc>
        <w:tc>
          <w:tcPr>
            <w:tcW w:w="2819" w:type="dxa"/>
          </w:tcPr>
          <w:p w14:paraId="04EEAF71" w14:textId="77777777" w:rsidR="00BA02E2" w:rsidRPr="00B67AAE" w:rsidRDefault="00BA02E2" w:rsidP="009831A0">
            <w:pPr>
              <w:jc w:val="center"/>
              <w:rPr>
                <w:rFonts w:cstheme="minorHAnsi"/>
              </w:rPr>
            </w:pPr>
            <w:r w:rsidRPr="00B67AAE">
              <w:rPr>
                <w:rFonts w:cstheme="minorHAnsi"/>
              </w:rPr>
              <w:t>17%</w:t>
            </w:r>
          </w:p>
        </w:tc>
      </w:tr>
      <w:tr w:rsidR="00BA02E2" w:rsidRPr="00B67AAE" w14:paraId="656E94B6" w14:textId="77777777" w:rsidTr="009831A0">
        <w:trPr>
          <w:trHeight w:val="287"/>
        </w:trPr>
        <w:tc>
          <w:tcPr>
            <w:tcW w:w="2972" w:type="dxa"/>
          </w:tcPr>
          <w:p w14:paraId="04CA33DB" w14:textId="23E3C85B" w:rsidR="00BA02E2" w:rsidRPr="00B67AAE" w:rsidRDefault="00BA02E2" w:rsidP="009831A0">
            <w:pPr>
              <w:jc w:val="center"/>
              <w:rPr>
                <w:rFonts w:cstheme="minorHAnsi"/>
              </w:rPr>
            </w:pPr>
            <w:r w:rsidRPr="00B67AAE">
              <w:rPr>
                <w:rFonts w:cstheme="minorHAnsi"/>
              </w:rPr>
              <w:t>London</w:t>
            </w:r>
          </w:p>
        </w:tc>
        <w:tc>
          <w:tcPr>
            <w:tcW w:w="2835" w:type="dxa"/>
          </w:tcPr>
          <w:p w14:paraId="5C33F900" w14:textId="77777777" w:rsidR="00BA02E2" w:rsidRPr="00B67AAE" w:rsidRDefault="00BA02E2" w:rsidP="009831A0">
            <w:pPr>
              <w:jc w:val="center"/>
              <w:rPr>
                <w:rFonts w:cstheme="minorHAnsi"/>
              </w:rPr>
            </w:pPr>
            <w:r w:rsidRPr="00B67AAE">
              <w:rPr>
                <w:rFonts w:cstheme="minorHAnsi"/>
              </w:rPr>
              <w:t>24%</w:t>
            </w:r>
          </w:p>
        </w:tc>
        <w:tc>
          <w:tcPr>
            <w:tcW w:w="2819" w:type="dxa"/>
          </w:tcPr>
          <w:p w14:paraId="50E467CA" w14:textId="748A1097" w:rsidR="00BA02E2" w:rsidRPr="00B67AAE" w:rsidRDefault="00BA02E2" w:rsidP="009831A0">
            <w:pPr>
              <w:jc w:val="center"/>
              <w:rPr>
                <w:rFonts w:cstheme="minorHAnsi"/>
              </w:rPr>
            </w:pPr>
            <w:r w:rsidRPr="00B67AAE">
              <w:rPr>
                <w:rFonts w:cstheme="minorHAnsi"/>
              </w:rPr>
              <w:t>34%</w:t>
            </w:r>
          </w:p>
        </w:tc>
      </w:tr>
      <w:tr w:rsidR="00BA02E2" w:rsidRPr="00B67AAE" w14:paraId="44C5DDE4" w14:textId="77777777" w:rsidTr="009831A0">
        <w:trPr>
          <w:trHeight w:val="295"/>
        </w:trPr>
        <w:tc>
          <w:tcPr>
            <w:tcW w:w="2972" w:type="dxa"/>
          </w:tcPr>
          <w:p w14:paraId="5E4BEC46" w14:textId="6FAB6045" w:rsidR="00BA02E2" w:rsidRPr="00B67AAE" w:rsidRDefault="00BA02E2" w:rsidP="009831A0">
            <w:pPr>
              <w:jc w:val="center"/>
              <w:rPr>
                <w:rFonts w:cstheme="minorHAnsi"/>
              </w:rPr>
            </w:pPr>
            <w:r w:rsidRPr="00B67AAE">
              <w:rPr>
                <w:rFonts w:cstheme="minorHAnsi"/>
              </w:rPr>
              <w:t>Midlands</w:t>
            </w:r>
          </w:p>
        </w:tc>
        <w:tc>
          <w:tcPr>
            <w:tcW w:w="2835" w:type="dxa"/>
          </w:tcPr>
          <w:p w14:paraId="21B41153" w14:textId="77777777" w:rsidR="00BA02E2" w:rsidRPr="00B67AAE" w:rsidRDefault="00BA02E2" w:rsidP="009831A0">
            <w:pPr>
              <w:jc w:val="center"/>
              <w:rPr>
                <w:rFonts w:cstheme="minorHAnsi"/>
              </w:rPr>
            </w:pPr>
            <w:r w:rsidRPr="00B67AAE">
              <w:rPr>
                <w:rFonts w:cstheme="minorHAnsi"/>
              </w:rPr>
              <w:t>12%</w:t>
            </w:r>
          </w:p>
        </w:tc>
        <w:tc>
          <w:tcPr>
            <w:tcW w:w="2819" w:type="dxa"/>
          </w:tcPr>
          <w:p w14:paraId="1409531B" w14:textId="1C993B2B" w:rsidR="00BA02E2" w:rsidRPr="00B67AAE" w:rsidRDefault="00BA02E2" w:rsidP="009831A0">
            <w:pPr>
              <w:jc w:val="center"/>
              <w:rPr>
                <w:rFonts w:cstheme="minorHAnsi"/>
              </w:rPr>
            </w:pPr>
            <w:r w:rsidRPr="00B67AAE">
              <w:rPr>
                <w:rFonts w:cstheme="minorHAnsi"/>
              </w:rPr>
              <w:t>20%</w:t>
            </w:r>
          </w:p>
        </w:tc>
      </w:tr>
      <w:tr w:rsidR="00BA02E2" w:rsidRPr="00B67AAE" w14:paraId="44D155EA" w14:textId="77777777" w:rsidTr="009831A0">
        <w:trPr>
          <w:trHeight w:val="285"/>
        </w:trPr>
        <w:tc>
          <w:tcPr>
            <w:tcW w:w="2972" w:type="dxa"/>
          </w:tcPr>
          <w:p w14:paraId="75DE5EAC" w14:textId="77777777" w:rsidR="00BA02E2" w:rsidRPr="00B67AAE" w:rsidRDefault="00BA02E2" w:rsidP="009831A0">
            <w:pPr>
              <w:jc w:val="center"/>
              <w:rPr>
                <w:rFonts w:cstheme="minorHAnsi"/>
              </w:rPr>
            </w:pPr>
            <w:r w:rsidRPr="00B67AAE">
              <w:rPr>
                <w:rFonts w:cstheme="minorHAnsi"/>
              </w:rPr>
              <w:t>North East and Yorkshire</w:t>
            </w:r>
          </w:p>
        </w:tc>
        <w:tc>
          <w:tcPr>
            <w:tcW w:w="2835" w:type="dxa"/>
          </w:tcPr>
          <w:p w14:paraId="6EE2ED6F" w14:textId="77777777" w:rsidR="00BA02E2" w:rsidRPr="00B67AAE" w:rsidRDefault="00BA02E2" w:rsidP="009831A0">
            <w:pPr>
              <w:jc w:val="center"/>
              <w:rPr>
                <w:rFonts w:cstheme="minorHAnsi"/>
              </w:rPr>
            </w:pPr>
            <w:r w:rsidRPr="00B67AAE">
              <w:rPr>
                <w:rFonts w:cstheme="minorHAnsi"/>
              </w:rPr>
              <w:t>8%</w:t>
            </w:r>
          </w:p>
        </w:tc>
        <w:tc>
          <w:tcPr>
            <w:tcW w:w="2819" w:type="dxa"/>
          </w:tcPr>
          <w:p w14:paraId="12BBAC65" w14:textId="3D7F9D17" w:rsidR="00BA02E2" w:rsidRPr="00B67AAE" w:rsidRDefault="00BA02E2" w:rsidP="009831A0">
            <w:pPr>
              <w:jc w:val="center"/>
              <w:rPr>
                <w:rFonts w:cstheme="minorHAnsi"/>
              </w:rPr>
            </w:pPr>
            <w:r w:rsidRPr="00B67AAE">
              <w:rPr>
                <w:rFonts w:cstheme="minorHAnsi"/>
              </w:rPr>
              <w:t>13%</w:t>
            </w:r>
          </w:p>
        </w:tc>
      </w:tr>
      <w:tr w:rsidR="00BA02E2" w:rsidRPr="00B67AAE" w14:paraId="3591C141" w14:textId="77777777" w:rsidTr="009831A0">
        <w:trPr>
          <w:trHeight w:val="302"/>
        </w:trPr>
        <w:tc>
          <w:tcPr>
            <w:tcW w:w="2972" w:type="dxa"/>
          </w:tcPr>
          <w:p w14:paraId="2DD9C6D4" w14:textId="63BA453C" w:rsidR="00BA02E2" w:rsidRPr="00B67AAE" w:rsidRDefault="00BA02E2" w:rsidP="009831A0">
            <w:pPr>
              <w:jc w:val="center"/>
              <w:rPr>
                <w:rFonts w:cstheme="minorHAnsi"/>
              </w:rPr>
            </w:pPr>
            <w:r w:rsidRPr="00B67AAE">
              <w:rPr>
                <w:rFonts w:cstheme="minorHAnsi"/>
              </w:rPr>
              <w:t>North West</w:t>
            </w:r>
          </w:p>
        </w:tc>
        <w:tc>
          <w:tcPr>
            <w:tcW w:w="2835" w:type="dxa"/>
          </w:tcPr>
          <w:p w14:paraId="16AD7E2C" w14:textId="77777777" w:rsidR="00BA02E2" w:rsidRPr="00B67AAE" w:rsidRDefault="00BA02E2" w:rsidP="009831A0">
            <w:pPr>
              <w:jc w:val="center"/>
              <w:rPr>
                <w:rFonts w:cstheme="minorHAnsi"/>
              </w:rPr>
            </w:pPr>
            <w:r w:rsidRPr="00B67AAE">
              <w:rPr>
                <w:rFonts w:cstheme="minorHAnsi"/>
              </w:rPr>
              <w:t>14%</w:t>
            </w:r>
          </w:p>
        </w:tc>
        <w:tc>
          <w:tcPr>
            <w:tcW w:w="2819" w:type="dxa"/>
          </w:tcPr>
          <w:p w14:paraId="18CE1895" w14:textId="7BFEEC61" w:rsidR="00BA02E2" w:rsidRPr="00B67AAE" w:rsidRDefault="00BA02E2" w:rsidP="009831A0">
            <w:pPr>
              <w:jc w:val="center"/>
              <w:rPr>
                <w:rFonts w:cstheme="minorHAnsi"/>
              </w:rPr>
            </w:pPr>
            <w:r w:rsidRPr="00B67AAE">
              <w:rPr>
                <w:rFonts w:cstheme="minorHAnsi"/>
              </w:rPr>
              <w:t>15%</w:t>
            </w:r>
          </w:p>
        </w:tc>
      </w:tr>
      <w:tr w:rsidR="00BA02E2" w:rsidRPr="00B67AAE" w14:paraId="5B1B9B82" w14:textId="77777777" w:rsidTr="009831A0">
        <w:trPr>
          <w:trHeight w:val="285"/>
        </w:trPr>
        <w:tc>
          <w:tcPr>
            <w:tcW w:w="2972" w:type="dxa"/>
          </w:tcPr>
          <w:p w14:paraId="33AFAC23" w14:textId="77777777" w:rsidR="00BA02E2" w:rsidRPr="00B67AAE" w:rsidRDefault="00BA02E2" w:rsidP="009831A0">
            <w:pPr>
              <w:jc w:val="center"/>
              <w:rPr>
                <w:rFonts w:cstheme="minorHAnsi"/>
              </w:rPr>
            </w:pPr>
            <w:r w:rsidRPr="00B67AAE">
              <w:rPr>
                <w:rFonts w:cstheme="minorHAnsi"/>
              </w:rPr>
              <w:t>South East</w:t>
            </w:r>
          </w:p>
        </w:tc>
        <w:tc>
          <w:tcPr>
            <w:tcW w:w="2835" w:type="dxa"/>
          </w:tcPr>
          <w:p w14:paraId="756B862A" w14:textId="77777777" w:rsidR="00BA02E2" w:rsidRPr="00B67AAE" w:rsidRDefault="00BA02E2" w:rsidP="009831A0">
            <w:pPr>
              <w:jc w:val="center"/>
              <w:rPr>
                <w:rFonts w:cstheme="minorHAnsi"/>
              </w:rPr>
            </w:pPr>
            <w:r w:rsidRPr="00B67AAE">
              <w:rPr>
                <w:rFonts w:cstheme="minorHAnsi"/>
              </w:rPr>
              <w:t>15%</w:t>
            </w:r>
          </w:p>
        </w:tc>
        <w:tc>
          <w:tcPr>
            <w:tcW w:w="2819" w:type="dxa"/>
          </w:tcPr>
          <w:p w14:paraId="3906F617" w14:textId="7DBF406B" w:rsidR="00BA02E2" w:rsidRPr="00B67AAE" w:rsidRDefault="00BA02E2" w:rsidP="009831A0">
            <w:pPr>
              <w:jc w:val="center"/>
              <w:rPr>
                <w:rFonts w:cstheme="minorHAnsi"/>
              </w:rPr>
            </w:pPr>
            <w:r w:rsidRPr="00B67AAE">
              <w:rPr>
                <w:rFonts w:cstheme="minorHAnsi"/>
              </w:rPr>
              <w:t>25%</w:t>
            </w:r>
          </w:p>
        </w:tc>
      </w:tr>
      <w:tr w:rsidR="00BA02E2" w:rsidRPr="00B67AAE" w14:paraId="1F7F7B33" w14:textId="77777777" w:rsidTr="009831A0">
        <w:trPr>
          <w:trHeight w:val="285"/>
        </w:trPr>
        <w:tc>
          <w:tcPr>
            <w:tcW w:w="2972" w:type="dxa"/>
          </w:tcPr>
          <w:p w14:paraId="4D29AB2F" w14:textId="77777777" w:rsidR="00BA02E2" w:rsidRPr="00B67AAE" w:rsidRDefault="00BA02E2" w:rsidP="009831A0">
            <w:pPr>
              <w:jc w:val="center"/>
              <w:rPr>
                <w:rFonts w:cstheme="minorHAnsi"/>
              </w:rPr>
            </w:pPr>
            <w:r w:rsidRPr="00B67AAE">
              <w:rPr>
                <w:rFonts w:cstheme="minorHAnsi"/>
              </w:rPr>
              <w:t>South West</w:t>
            </w:r>
          </w:p>
        </w:tc>
        <w:tc>
          <w:tcPr>
            <w:tcW w:w="2835" w:type="dxa"/>
          </w:tcPr>
          <w:p w14:paraId="52990590" w14:textId="77777777" w:rsidR="00BA02E2" w:rsidRPr="00B67AAE" w:rsidRDefault="00BA02E2" w:rsidP="009831A0">
            <w:pPr>
              <w:jc w:val="center"/>
              <w:rPr>
                <w:rFonts w:cstheme="minorHAnsi"/>
              </w:rPr>
            </w:pPr>
            <w:r w:rsidRPr="00B67AAE">
              <w:rPr>
                <w:rFonts w:cstheme="minorHAnsi"/>
              </w:rPr>
              <w:t>5%</w:t>
            </w:r>
          </w:p>
        </w:tc>
        <w:tc>
          <w:tcPr>
            <w:tcW w:w="2819" w:type="dxa"/>
          </w:tcPr>
          <w:p w14:paraId="537736D5" w14:textId="2D173A64" w:rsidR="00BA02E2" w:rsidRPr="00B67AAE" w:rsidRDefault="00BA02E2" w:rsidP="009831A0">
            <w:pPr>
              <w:jc w:val="center"/>
              <w:rPr>
                <w:rFonts w:cstheme="minorHAnsi"/>
              </w:rPr>
            </w:pPr>
            <w:r w:rsidRPr="00B67AAE">
              <w:rPr>
                <w:rFonts w:cstheme="minorHAnsi"/>
              </w:rPr>
              <w:t>12%</w:t>
            </w:r>
          </w:p>
        </w:tc>
      </w:tr>
    </w:tbl>
    <w:p w14:paraId="7F76F88F" w14:textId="0FF2FF80" w:rsidR="00BA02E2" w:rsidRPr="00B67AAE" w:rsidRDefault="00BA02E2" w:rsidP="00D7047C">
      <w:pPr>
        <w:rPr>
          <w:rFonts w:cstheme="minorHAnsi"/>
        </w:rPr>
      </w:pPr>
    </w:p>
    <w:p w14:paraId="0FCB77AB" w14:textId="5B819806" w:rsidR="00D7047C" w:rsidRPr="00AE5626" w:rsidRDefault="00D7047C" w:rsidP="00AE5626">
      <w:pPr>
        <w:pStyle w:val="ListParagraph"/>
        <w:numPr>
          <w:ilvl w:val="1"/>
          <w:numId w:val="32"/>
        </w:numPr>
        <w:ind w:left="0"/>
        <w:rPr>
          <w:rFonts w:cstheme="minorHAnsi"/>
        </w:rPr>
      </w:pPr>
      <w:r w:rsidRPr="00AE5626">
        <w:rPr>
          <w:rFonts w:cstheme="minorHAnsi"/>
        </w:rPr>
        <w:t xml:space="preserve">The </w:t>
      </w:r>
      <w:r w:rsidR="00BA02E2" w:rsidRPr="00AE5626">
        <w:rPr>
          <w:rFonts w:cstheme="minorHAnsi"/>
        </w:rPr>
        <w:t>Graph</w:t>
      </w:r>
      <w:r w:rsidRPr="00AE5626">
        <w:rPr>
          <w:rFonts w:cstheme="minorHAnsi"/>
        </w:rPr>
        <w:t xml:space="preserve"> below represents the prisoner vaccine </w:t>
      </w:r>
      <w:r w:rsidR="00BA02E2" w:rsidRPr="00AE5626">
        <w:rPr>
          <w:rFonts w:cstheme="minorHAnsi"/>
        </w:rPr>
        <w:t>hesitancy</w:t>
      </w:r>
      <w:r w:rsidRPr="00AE5626">
        <w:rPr>
          <w:rFonts w:cstheme="minorHAnsi"/>
        </w:rPr>
        <w:t xml:space="preserve"> rates per NHS region across England </w:t>
      </w:r>
      <w:r w:rsidR="007C5540" w:rsidRPr="00AE5626">
        <w:rPr>
          <w:rFonts w:cstheme="minorHAnsi"/>
        </w:rPr>
        <w:t>from the</w:t>
      </w:r>
      <w:r w:rsidR="00BA02E2" w:rsidRPr="00AE5626">
        <w:rPr>
          <w:rFonts w:cstheme="minorHAnsi"/>
        </w:rPr>
        <w:t xml:space="preserve"> </w:t>
      </w:r>
      <w:r w:rsidR="00DF748F" w:rsidRPr="00AE5626">
        <w:rPr>
          <w:rFonts w:cstheme="minorHAnsi"/>
        </w:rPr>
        <w:t>8</w:t>
      </w:r>
      <w:r w:rsidR="00DF748F" w:rsidRPr="00AE5626">
        <w:rPr>
          <w:rFonts w:cstheme="minorHAnsi"/>
          <w:vertAlign w:val="superscript"/>
        </w:rPr>
        <w:t>th</w:t>
      </w:r>
      <w:r w:rsidR="00DF748F" w:rsidRPr="00AE5626">
        <w:rPr>
          <w:rFonts w:cstheme="minorHAnsi"/>
        </w:rPr>
        <w:t xml:space="preserve"> March 2021</w:t>
      </w:r>
      <w:r w:rsidR="00BA02E2" w:rsidRPr="00AE5626">
        <w:rPr>
          <w:rFonts w:cstheme="minorHAnsi"/>
        </w:rPr>
        <w:t xml:space="preserve">. This is compared to community hesitancy rates provided by the Office for National Statistics (ONS) from a comparable date of the </w:t>
      </w:r>
      <w:r w:rsidR="00DF748F" w:rsidRPr="00AE5626">
        <w:rPr>
          <w:rFonts w:cstheme="minorHAnsi"/>
          <w:color w:val="323132"/>
          <w:shd w:val="clear" w:color="auto" w:fill="FFFFFF"/>
        </w:rPr>
        <w:t>14</w:t>
      </w:r>
      <w:r w:rsidR="00DF748F" w:rsidRPr="00AE5626">
        <w:rPr>
          <w:rFonts w:cstheme="minorHAnsi"/>
          <w:color w:val="323132"/>
          <w:shd w:val="clear" w:color="auto" w:fill="FFFFFF"/>
          <w:vertAlign w:val="superscript"/>
        </w:rPr>
        <w:t>th</w:t>
      </w:r>
      <w:r w:rsidR="00DF748F" w:rsidRPr="00AE5626">
        <w:rPr>
          <w:rFonts w:cstheme="minorHAnsi"/>
          <w:color w:val="323132"/>
          <w:shd w:val="clear" w:color="auto" w:fill="FFFFFF"/>
        </w:rPr>
        <w:t xml:space="preserve"> March </w:t>
      </w:r>
      <w:r w:rsidR="007D5D56" w:rsidRPr="00AE5626">
        <w:rPr>
          <w:rFonts w:cstheme="minorHAnsi"/>
          <w:color w:val="323132"/>
          <w:shd w:val="clear" w:color="auto" w:fill="FFFFFF"/>
        </w:rPr>
        <w:t>to the 25</w:t>
      </w:r>
      <w:r w:rsidR="007D5D56" w:rsidRPr="00AE5626">
        <w:rPr>
          <w:rFonts w:cstheme="minorHAnsi"/>
          <w:color w:val="323132"/>
          <w:shd w:val="clear" w:color="auto" w:fill="FFFFFF"/>
          <w:vertAlign w:val="superscript"/>
        </w:rPr>
        <w:t>th</w:t>
      </w:r>
      <w:r w:rsidR="007D5D56" w:rsidRPr="00AE5626">
        <w:rPr>
          <w:rFonts w:cstheme="minorHAnsi"/>
          <w:color w:val="323132"/>
          <w:shd w:val="clear" w:color="auto" w:fill="FFFFFF"/>
        </w:rPr>
        <w:t xml:space="preserve"> April</w:t>
      </w:r>
      <w:r w:rsidRPr="00AE5626">
        <w:rPr>
          <w:rFonts w:cstheme="minorHAnsi"/>
        </w:rPr>
        <w:t>.</w:t>
      </w:r>
    </w:p>
    <w:p w14:paraId="2B1F3D3A" w14:textId="77777777" w:rsidR="00AE5626" w:rsidRPr="00AE5626" w:rsidRDefault="00AE5626" w:rsidP="00AE5626">
      <w:pPr>
        <w:pStyle w:val="ListParagraph"/>
        <w:rPr>
          <w:rFonts w:cstheme="minorHAnsi"/>
        </w:rPr>
      </w:pPr>
    </w:p>
    <w:p w14:paraId="20BB0FB6" w14:textId="2A696AE3" w:rsidR="00D7047C" w:rsidRPr="001225F2" w:rsidRDefault="00823B66" w:rsidP="00D7047C">
      <w:pPr>
        <w:rPr>
          <w:rFonts w:cstheme="minorHAnsi"/>
          <w:sz w:val="24"/>
          <w:szCs w:val="24"/>
        </w:rPr>
      </w:pPr>
      <w:r w:rsidRPr="00823B66">
        <w:rPr>
          <w:rFonts w:cstheme="minorHAnsi"/>
          <w:noProof/>
          <w:sz w:val="24"/>
          <w:szCs w:val="24"/>
        </w:rPr>
        <w:drawing>
          <wp:inline distT="0" distB="0" distL="0" distR="0" wp14:anchorId="29365DE8" wp14:editId="181B0BD1">
            <wp:extent cx="5483860" cy="3492500"/>
            <wp:effectExtent l="0" t="0" r="2540" b="12700"/>
            <wp:docPr id="5" name="Chart 5">
              <a:extLst xmlns:a="http://schemas.openxmlformats.org/drawingml/2006/main">
                <a:ext uri="{FF2B5EF4-FFF2-40B4-BE49-F238E27FC236}">
                  <a16:creationId xmlns:a16="http://schemas.microsoft.com/office/drawing/2014/main" id="{FFF7AF8D-93C0-4C5F-8ACA-54F3943A75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48971B" w14:textId="7D3B2205" w:rsidR="00D7047C" w:rsidRPr="00B67AAE" w:rsidDel="00D7047C" w:rsidRDefault="00D7047C" w:rsidP="00D7047C">
      <w:pPr>
        <w:rPr>
          <w:rStyle w:val="CommentReference"/>
          <w:rFonts w:cstheme="minorHAnsi"/>
          <w:sz w:val="22"/>
          <w:szCs w:val="22"/>
        </w:rPr>
      </w:pPr>
    </w:p>
    <w:p w14:paraId="6814CE1E" w14:textId="7D5D9830" w:rsidR="00FA0EB8" w:rsidRDefault="00D7047C" w:rsidP="00AE5626">
      <w:pPr>
        <w:pStyle w:val="ListParagraph"/>
        <w:numPr>
          <w:ilvl w:val="1"/>
          <w:numId w:val="32"/>
        </w:numPr>
        <w:ind w:left="0"/>
        <w:rPr>
          <w:rFonts w:cstheme="minorHAnsi"/>
        </w:rPr>
      </w:pPr>
      <w:r w:rsidRPr="00AE5626">
        <w:rPr>
          <w:rFonts w:cstheme="minorHAnsi"/>
        </w:rPr>
        <w:lastRenderedPageBreak/>
        <w:t xml:space="preserve">Vaccine sentiment research in the community </w:t>
      </w:r>
      <w:r w:rsidR="00BA0553">
        <w:rPr>
          <w:rFonts w:cstheme="minorHAnsi"/>
        </w:rPr>
        <w:t>indicates</w:t>
      </w:r>
      <w:r w:rsidRPr="00AE5626">
        <w:rPr>
          <w:rFonts w:cstheme="minorHAnsi"/>
        </w:rPr>
        <w:t xml:space="preserve"> that the South West ha</w:t>
      </w:r>
      <w:r w:rsidR="003461B1" w:rsidRPr="00AE5626">
        <w:rPr>
          <w:rFonts w:cstheme="minorHAnsi"/>
        </w:rPr>
        <w:t>s</w:t>
      </w:r>
      <w:r w:rsidRPr="00AE5626">
        <w:rPr>
          <w:rFonts w:cstheme="minorHAnsi"/>
        </w:rPr>
        <w:t xml:space="preserve"> the lowest percentage of vaccine hesitancy at </w:t>
      </w:r>
      <w:r w:rsidR="003461B1" w:rsidRPr="00AE5626">
        <w:rPr>
          <w:rFonts w:cstheme="minorHAnsi"/>
        </w:rPr>
        <w:t>4</w:t>
      </w:r>
      <w:r w:rsidRPr="00AE5626">
        <w:rPr>
          <w:rFonts w:cstheme="minorHAnsi"/>
        </w:rPr>
        <w:t xml:space="preserve">%, whilst London has the highest at </w:t>
      </w:r>
      <w:r w:rsidR="003461B1" w:rsidRPr="00AE5626">
        <w:rPr>
          <w:rFonts w:cstheme="minorHAnsi"/>
        </w:rPr>
        <w:t>9</w:t>
      </w:r>
      <w:r w:rsidRPr="00AE5626">
        <w:rPr>
          <w:rFonts w:cstheme="minorHAnsi"/>
        </w:rPr>
        <w:t>%. As of the 15</w:t>
      </w:r>
      <w:r w:rsidRPr="00AE5626">
        <w:rPr>
          <w:rFonts w:cstheme="minorHAnsi"/>
          <w:vertAlign w:val="superscript"/>
        </w:rPr>
        <w:t>th</w:t>
      </w:r>
      <w:r w:rsidRPr="00AE5626">
        <w:rPr>
          <w:rFonts w:cstheme="minorHAnsi"/>
        </w:rPr>
        <w:t xml:space="preserve"> April, </w:t>
      </w:r>
      <w:r w:rsidR="00C915C7">
        <w:rPr>
          <w:rFonts w:cstheme="minorHAnsi"/>
        </w:rPr>
        <w:t xml:space="preserve">NHS data shows that </w:t>
      </w:r>
      <w:r w:rsidRPr="00AE5626">
        <w:rPr>
          <w:rFonts w:cstheme="minorHAnsi"/>
        </w:rPr>
        <w:t xml:space="preserve">London prisons had the highest </w:t>
      </w:r>
      <w:r w:rsidR="004E1407" w:rsidRPr="00AE5626">
        <w:rPr>
          <w:rFonts w:cstheme="minorHAnsi"/>
        </w:rPr>
        <w:t xml:space="preserve">hesitancy </w:t>
      </w:r>
      <w:r w:rsidRPr="00AE5626">
        <w:rPr>
          <w:rFonts w:cstheme="minorHAnsi"/>
        </w:rPr>
        <w:t xml:space="preserve">rate </w:t>
      </w:r>
      <w:r w:rsidR="004E1407" w:rsidRPr="00AE5626">
        <w:rPr>
          <w:rFonts w:cstheme="minorHAnsi"/>
        </w:rPr>
        <w:t>at</w:t>
      </w:r>
      <w:r w:rsidRPr="00AE5626">
        <w:rPr>
          <w:rFonts w:cstheme="minorHAnsi"/>
        </w:rPr>
        <w:t xml:space="preserve"> 3</w:t>
      </w:r>
      <w:r w:rsidR="004E1407" w:rsidRPr="00AE5626">
        <w:rPr>
          <w:rFonts w:cstheme="minorHAnsi"/>
        </w:rPr>
        <w:t>9</w:t>
      </w:r>
      <w:r w:rsidRPr="00AE5626">
        <w:rPr>
          <w:rFonts w:cstheme="minorHAnsi"/>
        </w:rPr>
        <w:t>%, comparative to 1</w:t>
      </w:r>
      <w:r w:rsidR="00E43A57" w:rsidRPr="00AE5626">
        <w:rPr>
          <w:rFonts w:cstheme="minorHAnsi"/>
        </w:rPr>
        <w:t>0</w:t>
      </w:r>
      <w:r w:rsidRPr="00AE5626">
        <w:rPr>
          <w:rFonts w:cstheme="minorHAnsi"/>
        </w:rPr>
        <w:t>% in the South West and</w:t>
      </w:r>
      <w:r w:rsidR="00B76F57" w:rsidRPr="00AE5626">
        <w:rPr>
          <w:rFonts w:cstheme="minorHAnsi"/>
        </w:rPr>
        <w:t xml:space="preserve"> 13%</w:t>
      </w:r>
      <w:r w:rsidR="00AE5626">
        <w:rPr>
          <w:rFonts w:cstheme="minorHAnsi"/>
        </w:rPr>
        <w:t xml:space="preserve"> in</w:t>
      </w:r>
      <w:r w:rsidR="00B76F57" w:rsidRPr="00AE5626">
        <w:rPr>
          <w:rFonts w:cstheme="minorHAnsi"/>
        </w:rPr>
        <w:t xml:space="preserve"> </w:t>
      </w:r>
      <w:r w:rsidRPr="00AE5626">
        <w:rPr>
          <w:rFonts w:cstheme="minorHAnsi"/>
        </w:rPr>
        <w:t xml:space="preserve">North East and Yorkshire, showing consistency </w:t>
      </w:r>
      <w:r w:rsidR="00C915C7">
        <w:rPr>
          <w:rFonts w:cstheme="minorHAnsi"/>
        </w:rPr>
        <w:t>between</w:t>
      </w:r>
      <w:r w:rsidR="00C915C7" w:rsidRPr="00AE5626">
        <w:rPr>
          <w:rFonts w:cstheme="minorHAnsi"/>
        </w:rPr>
        <w:t xml:space="preserve"> </w:t>
      </w:r>
      <w:r w:rsidRPr="00AE5626">
        <w:rPr>
          <w:rFonts w:cstheme="minorHAnsi"/>
        </w:rPr>
        <w:t xml:space="preserve">community trends </w:t>
      </w:r>
      <w:r w:rsidR="00C915C7">
        <w:rPr>
          <w:rFonts w:cstheme="minorHAnsi"/>
        </w:rPr>
        <w:t>and</w:t>
      </w:r>
      <w:r w:rsidR="00C915C7" w:rsidRPr="00AE5626">
        <w:rPr>
          <w:rFonts w:cstheme="minorHAnsi"/>
        </w:rPr>
        <w:t xml:space="preserve"> </w:t>
      </w:r>
      <w:r w:rsidRPr="00AE5626">
        <w:rPr>
          <w:rFonts w:cstheme="minorHAnsi"/>
        </w:rPr>
        <w:t>the prison estate.</w:t>
      </w:r>
      <w:r w:rsidR="00FA0EB8" w:rsidRPr="00AE5626">
        <w:rPr>
          <w:rFonts w:cstheme="minorHAnsi"/>
        </w:rPr>
        <w:t xml:space="preserve"> </w:t>
      </w:r>
      <w:r w:rsidRPr="00AE5626">
        <w:rPr>
          <w:rFonts w:cstheme="minorHAnsi"/>
        </w:rPr>
        <w:t>It is apparent that prison</w:t>
      </w:r>
      <w:r w:rsidR="00C915C7">
        <w:rPr>
          <w:rFonts w:cstheme="minorHAnsi"/>
        </w:rPr>
        <w:t>er</w:t>
      </w:r>
      <w:r w:rsidR="00AD669E" w:rsidRPr="00AE5626">
        <w:rPr>
          <w:rFonts w:cstheme="minorHAnsi"/>
        </w:rPr>
        <w:t xml:space="preserve"> vaccine</w:t>
      </w:r>
      <w:r w:rsidRPr="00AE5626">
        <w:rPr>
          <w:rFonts w:cstheme="minorHAnsi"/>
        </w:rPr>
        <w:t xml:space="preserve"> hesitancy rates are significantly worse than those in the community, which, coupled with existing inequalities</w:t>
      </w:r>
      <w:r w:rsidR="00BA0553">
        <w:rPr>
          <w:rFonts w:cstheme="minorHAnsi"/>
        </w:rPr>
        <w:t xml:space="preserve"> (such as overrepresentation of minority ethnicity groups and poorer health outcomes)</w:t>
      </w:r>
      <w:r w:rsidRPr="00AE5626">
        <w:rPr>
          <w:rFonts w:cstheme="minorHAnsi"/>
        </w:rPr>
        <w:t>, will only exacerbate these divides further.</w:t>
      </w:r>
    </w:p>
    <w:p w14:paraId="1EC0F2A9" w14:textId="77777777" w:rsidR="00AE5626" w:rsidRPr="00AE5626" w:rsidRDefault="00AE5626" w:rsidP="00AE5626">
      <w:pPr>
        <w:pStyle w:val="ListParagraph"/>
        <w:ind w:left="0"/>
        <w:rPr>
          <w:rFonts w:cstheme="minorHAnsi"/>
        </w:rPr>
      </w:pPr>
    </w:p>
    <w:p w14:paraId="445BED9E" w14:textId="1DF35A7E" w:rsidR="00AE5626" w:rsidRPr="00AE5626" w:rsidRDefault="004C78FE" w:rsidP="00AE5626">
      <w:pPr>
        <w:pStyle w:val="ListParagraph"/>
        <w:numPr>
          <w:ilvl w:val="1"/>
          <w:numId w:val="32"/>
        </w:numPr>
        <w:ind w:left="0"/>
        <w:rPr>
          <w:rFonts w:cstheme="minorHAnsi"/>
        </w:rPr>
      </w:pPr>
      <w:r w:rsidRPr="00B67AAE">
        <w:t xml:space="preserve">Geography has proven a </w:t>
      </w:r>
      <w:r w:rsidR="00C915C7">
        <w:t>challenging</w:t>
      </w:r>
      <w:r w:rsidRPr="00B67AAE">
        <w:t xml:space="preserve"> </w:t>
      </w:r>
      <w:r w:rsidR="00C915C7">
        <w:t>paradigm</w:t>
      </w:r>
      <w:r w:rsidR="00C915C7" w:rsidRPr="00B67AAE">
        <w:t xml:space="preserve"> </w:t>
      </w:r>
      <w:r w:rsidRPr="00B67AAE">
        <w:t xml:space="preserve">to </w:t>
      </w:r>
      <w:r w:rsidR="00C915C7">
        <w:t xml:space="preserve">explore </w:t>
      </w:r>
      <w:r w:rsidRPr="00B67AAE">
        <w:t>in terms of vaccine hesitancy, as it often branches out into other categories, not least ethnicity.</w:t>
      </w:r>
      <w:r w:rsidR="007E7261" w:rsidRPr="00AE5626">
        <w:rPr>
          <w:rFonts w:cstheme="minorHAnsi"/>
        </w:rPr>
        <w:t xml:space="preserve"> </w:t>
      </w:r>
      <w:r w:rsidRPr="00B67AAE">
        <w:t>For instance, when consider</w:t>
      </w:r>
      <w:r w:rsidR="001F3F5A">
        <w:t>ing</w:t>
      </w:r>
      <w:r w:rsidRPr="00B67AAE">
        <w:t xml:space="preserve"> London’s high decline rate and how it is </w:t>
      </w:r>
      <w:r w:rsidR="00C915C7">
        <w:t>four</w:t>
      </w:r>
      <w:r w:rsidRPr="00B67AAE">
        <w:t xml:space="preserve"> times higher than that in the community, we must draw attention to the fact that </w:t>
      </w:r>
      <w:r w:rsidR="00C915C7">
        <w:t>six</w:t>
      </w:r>
      <w:r w:rsidRPr="00B67AAE">
        <w:t xml:space="preserve"> out of the top </w:t>
      </w:r>
      <w:r w:rsidR="00C915C7">
        <w:t xml:space="preserve">ten </w:t>
      </w:r>
      <w:r w:rsidRPr="00B67AAE">
        <w:t>prisons with the highest B</w:t>
      </w:r>
      <w:r w:rsidR="00C915C7">
        <w:t>lack, Asian and Minority Ethnic (B</w:t>
      </w:r>
      <w:r w:rsidRPr="00B67AAE">
        <w:t>AME</w:t>
      </w:r>
      <w:r w:rsidR="00C915C7">
        <w:t>)</w:t>
      </w:r>
      <w:r w:rsidRPr="00B67AAE">
        <w:t xml:space="preserve"> population are situated in London. Conversely the North East, its decline rate only twice as high as that found in its community, is home to the top </w:t>
      </w:r>
      <w:r w:rsidR="00C915C7">
        <w:t>five</w:t>
      </w:r>
      <w:r w:rsidRPr="00B67AAE">
        <w:t xml:space="preserve"> prisons in the country with the highest white populations.  If extrapolat</w:t>
      </w:r>
      <w:r w:rsidR="001F3F5A">
        <w:t>ing</w:t>
      </w:r>
      <w:r w:rsidRPr="00B67AAE">
        <w:t xml:space="preserve"> th</w:t>
      </w:r>
      <w:r w:rsidR="001F3F5A">
        <w:t>is</w:t>
      </w:r>
      <w:r w:rsidRPr="00B67AAE">
        <w:t xml:space="preserve"> out, </w:t>
      </w:r>
      <w:r w:rsidR="001F3F5A">
        <w:t>there is some evidence</w:t>
      </w:r>
      <w:r w:rsidRPr="00B67AAE">
        <w:t xml:space="preserve"> that city-based prisons, such as </w:t>
      </w:r>
      <w:r w:rsidR="00C106C1">
        <w:t xml:space="preserve">HMP </w:t>
      </w:r>
      <w:r w:rsidRPr="00B67AAE">
        <w:t xml:space="preserve">Birmingham and </w:t>
      </w:r>
      <w:r w:rsidR="00C106C1">
        <w:t xml:space="preserve">HMP </w:t>
      </w:r>
      <w:r w:rsidRPr="00B67AAE">
        <w:t xml:space="preserve">Bristol, have </w:t>
      </w:r>
      <w:r w:rsidR="001F3F5A">
        <w:t xml:space="preserve">both </w:t>
      </w:r>
      <w:r w:rsidRPr="00B67AAE">
        <w:t>higher decline rates and ethnically diverse populations, compared to ethnically homogenous sites like Hull where higher vaccine uptake rates can be observed.</w:t>
      </w:r>
    </w:p>
    <w:p w14:paraId="7D319E21" w14:textId="77777777" w:rsidR="00AE5626" w:rsidRPr="00AE5626" w:rsidRDefault="00AE5626" w:rsidP="00AE5626">
      <w:pPr>
        <w:pStyle w:val="ListParagraph"/>
        <w:ind w:left="0"/>
        <w:rPr>
          <w:rFonts w:cstheme="minorHAnsi"/>
        </w:rPr>
      </w:pPr>
    </w:p>
    <w:p w14:paraId="7E465253" w14:textId="77E488E6" w:rsidR="00AE5626" w:rsidRPr="00AE5626" w:rsidRDefault="004C78FE" w:rsidP="00AE5626">
      <w:pPr>
        <w:pStyle w:val="ListParagraph"/>
        <w:numPr>
          <w:ilvl w:val="1"/>
          <w:numId w:val="32"/>
        </w:numPr>
        <w:ind w:left="0"/>
        <w:rPr>
          <w:rFonts w:cstheme="minorHAnsi"/>
        </w:rPr>
      </w:pPr>
      <w:r w:rsidRPr="00B67AAE">
        <w:t xml:space="preserve">However, there are city prisons that do not fit with this assertion and so </w:t>
      </w:r>
      <w:r w:rsidR="001C62DF">
        <w:t>consideration must also be given</w:t>
      </w:r>
      <w:r w:rsidRPr="00B67AAE">
        <w:t xml:space="preserve"> other factors that may play into vaccine hesitancy at these sites. Research conducted by </w:t>
      </w:r>
      <w:r w:rsidR="00C106C1">
        <w:t>t</w:t>
      </w:r>
      <w:r w:rsidRPr="00B67AAE">
        <w:t>he Office of National Statistics shows the link between poverty and vaccine uptake, with those who live in the most deprived areas being four times more likely to report vaccine hesitancy than those in the least deprived areas.</w:t>
      </w:r>
    </w:p>
    <w:p w14:paraId="1DA0B546" w14:textId="77777777" w:rsidR="00AE5626" w:rsidRPr="00AE5626" w:rsidRDefault="00AE5626" w:rsidP="00AE5626">
      <w:pPr>
        <w:pStyle w:val="ListParagraph"/>
        <w:ind w:left="0"/>
        <w:rPr>
          <w:rFonts w:cstheme="minorHAnsi"/>
        </w:rPr>
      </w:pPr>
    </w:p>
    <w:p w14:paraId="52E0500B" w14:textId="09FD3487" w:rsidR="004C78FE" w:rsidRPr="00AE5626" w:rsidRDefault="004C78FE" w:rsidP="00AE5626">
      <w:pPr>
        <w:pStyle w:val="ListParagraph"/>
        <w:numPr>
          <w:ilvl w:val="1"/>
          <w:numId w:val="32"/>
        </w:numPr>
        <w:ind w:left="0"/>
        <w:rPr>
          <w:rFonts w:cstheme="minorHAnsi"/>
        </w:rPr>
      </w:pPr>
      <w:r w:rsidRPr="00B67AAE">
        <w:t>UK government statistics show that London has the highest rate of poverty</w:t>
      </w:r>
      <w:r w:rsidR="00BA0553">
        <w:t>, with 16%</w:t>
      </w:r>
      <w:r w:rsidRPr="00B67AAE">
        <w:t xml:space="preserve"> of people of all ages in persistent low income.  Whilst as a standalone figure this sounds like it could be a contributing factor as equally important as ethnicity, the region with the second highest poverty rates, at 15%, is the North East</w:t>
      </w:r>
      <w:r w:rsidR="002F1443">
        <w:t xml:space="preserve"> where vaccine uptake is high</w:t>
      </w:r>
      <w:r w:rsidRPr="00B67AAE">
        <w:t>. This reduces the likelihood of</w:t>
      </w:r>
      <w:r w:rsidR="00BA0553">
        <w:t xml:space="preserve"> poverty</w:t>
      </w:r>
      <w:r w:rsidRPr="00B67AAE">
        <w:t xml:space="preserve"> being a dominant factor in vaccine hesitancy but may still be a contributing factor in certain areas of the country and so must be </w:t>
      </w:r>
      <w:r w:rsidR="00AE5626">
        <w:t>taken into consideration</w:t>
      </w:r>
      <w:r w:rsidRPr="00B67AAE">
        <w:t xml:space="preserve"> when creating our communications packages.</w:t>
      </w:r>
    </w:p>
    <w:p w14:paraId="47051E5D" w14:textId="77777777" w:rsidR="00AE5626" w:rsidRPr="00AE5626" w:rsidRDefault="00AE5626" w:rsidP="00AE5626">
      <w:pPr>
        <w:pStyle w:val="ListParagraph"/>
        <w:rPr>
          <w:rFonts w:cstheme="minorHAnsi"/>
        </w:rPr>
      </w:pPr>
    </w:p>
    <w:p w14:paraId="4436611F" w14:textId="171EC7D0" w:rsidR="006515F6" w:rsidRPr="00AE5626" w:rsidRDefault="006515F6" w:rsidP="00AE5626">
      <w:pPr>
        <w:pStyle w:val="ListParagraph"/>
        <w:numPr>
          <w:ilvl w:val="1"/>
          <w:numId w:val="32"/>
        </w:numPr>
        <w:ind w:left="0" w:hanging="426"/>
        <w:rPr>
          <w:rFonts w:cstheme="minorHAnsi"/>
        </w:rPr>
      </w:pPr>
      <w:r w:rsidRPr="00AE5626">
        <w:rPr>
          <w:rFonts w:cstheme="minorHAnsi"/>
        </w:rPr>
        <w:t>Vaccine hesitancy based on Index of Multiple Deprivation (IMD), England, 17</w:t>
      </w:r>
      <w:r w:rsidR="00DF748F" w:rsidRPr="00AE5626">
        <w:rPr>
          <w:rFonts w:cstheme="minorHAnsi"/>
          <w:vertAlign w:val="superscript"/>
        </w:rPr>
        <w:t>th</w:t>
      </w:r>
      <w:r w:rsidR="00DF748F" w:rsidRPr="00AE5626">
        <w:rPr>
          <w:rFonts w:cstheme="minorHAnsi"/>
        </w:rPr>
        <w:t xml:space="preserve"> </w:t>
      </w:r>
      <w:r w:rsidRPr="00AE5626">
        <w:rPr>
          <w:rFonts w:cstheme="minorHAnsi"/>
        </w:rPr>
        <w:t>February to 14</w:t>
      </w:r>
      <w:r w:rsidR="00DF748F" w:rsidRPr="00AE5626">
        <w:rPr>
          <w:rFonts w:cstheme="minorHAnsi"/>
          <w:vertAlign w:val="superscript"/>
        </w:rPr>
        <w:t>th</w:t>
      </w:r>
      <w:r w:rsidR="00DF748F" w:rsidRPr="00AE5626">
        <w:rPr>
          <w:rFonts w:cstheme="minorHAnsi"/>
        </w:rPr>
        <w:t xml:space="preserve"> </w:t>
      </w:r>
      <w:r w:rsidRPr="00AE5626">
        <w:rPr>
          <w:rFonts w:cstheme="minorHAnsi"/>
        </w:rPr>
        <w:t>March 2021</w:t>
      </w:r>
      <w:r w:rsidR="00B67AAE" w:rsidRPr="00AE5626">
        <w:rPr>
          <w:rFonts w:cstheme="minorHAnsi"/>
        </w:rPr>
        <w:t>.</w:t>
      </w:r>
    </w:p>
    <w:p w14:paraId="6C3EE010" w14:textId="3DEC2916" w:rsidR="00AE5626" w:rsidRPr="00AE5626" w:rsidRDefault="005A1BE3" w:rsidP="00AE5626">
      <w:pPr>
        <w:pStyle w:val="ListParagraph"/>
        <w:rPr>
          <w:rFonts w:cstheme="minorHAnsi"/>
        </w:rPr>
      </w:pPr>
      <w:r w:rsidRPr="005A1BE3">
        <w:rPr>
          <w:rFonts w:cstheme="minorHAnsi"/>
          <w:noProof/>
        </w:rPr>
        <mc:AlternateContent>
          <mc:Choice Requires="wps">
            <w:drawing>
              <wp:anchor distT="45720" distB="45720" distL="114300" distR="114300" simplePos="0" relativeHeight="251666439" behindDoc="0" locked="0" layoutInCell="1" allowOverlap="1" wp14:anchorId="09CFD20C" wp14:editId="27F10B35">
                <wp:simplePos x="0" y="0"/>
                <wp:positionH relativeFrom="margin">
                  <wp:align>center</wp:align>
                </wp:positionH>
                <wp:positionV relativeFrom="paragraph">
                  <wp:posOffset>1944370</wp:posOffset>
                </wp:positionV>
                <wp:extent cx="97155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9400"/>
                        </a:xfrm>
                        <a:prstGeom prst="rect">
                          <a:avLst/>
                        </a:prstGeom>
                        <a:solidFill>
                          <a:srgbClr val="FFFFFF"/>
                        </a:solidFill>
                        <a:ln w="9525">
                          <a:noFill/>
                          <a:miter lim="800000"/>
                          <a:headEnd/>
                          <a:tailEnd/>
                        </a:ln>
                      </wps:spPr>
                      <wps:txbx>
                        <w:txbxContent>
                          <w:p w14:paraId="4A658BAF" w14:textId="38AC6E30" w:rsidR="005A1BE3" w:rsidRDefault="005A1BE3">
                            <w:r>
                              <w:t>Decline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FD20C" id="_x0000_t202" coordsize="21600,21600" o:spt="202" path="m,l,21600r21600,l21600,xe">
                <v:stroke joinstyle="miter"/>
                <v:path gradientshapeok="t" o:connecttype="rect"/>
              </v:shapetype>
              <v:shape id="Text Box 2" o:spid="_x0000_s1026" type="#_x0000_t202" style="position:absolute;left:0;text-align:left;margin-left:0;margin-top:153.1pt;width:76.5pt;height:22pt;z-index:2516664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i4HgIAABw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" stroked="f">
                <v:textbox>
                  <w:txbxContent>
                    <w:p w14:paraId="4A658BAF" w14:textId="38AC6E30" w:rsidR="005A1BE3" w:rsidRDefault="005A1BE3">
                      <w:r>
                        <w:t>Decline Rate</w:t>
                      </w:r>
                    </w:p>
                  </w:txbxContent>
                </v:textbox>
                <w10:wrap type="square" anchorx="margin"/>
              </v:shape>
            </w:pict>
          </mc:Fallback>
        </mc:AlternateContent>
      </w:r>
      <w:r w:rsidR="00AE5626" w:rsidRPr="001225F2">
        <w:rPr>
          <w:rFonts w:cstheme="minorHAnsi"/>
          <w:noProof/>
          <w:sz w:val="24"/>
          <w:szCs w:val="24"/>
        </w:rPr>
        <w:drawing>
          <wp:anchor distT="0" distB="0" distL="114300" distR="114300" simplePos="0" relativeHeight="251659271" behindDoc="0" locked="0" layoutInCell="1" allowOverlap="1" wp14:anchorId="466D685B" wp14:editId="2391F21C">
            <wp:simplePos x="0" y="0"/>
            <wp:positionH relativeFrom="margin">
              <wp:align>left</wp:align>
            </wp:positionH>
            <wp:positionV relativeFrom="paragraph">
              <wp:posOffset>281940</wp:posOffset>
            </wp:positionV>
            <wp:extent cx="5600700" cy="16827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19231"/>
                    <a:stretch/>
                  </pic:blipFill>
                  <pic:spPr bwMode="auto">
                    <a:xfrm>
                      <a:off x="0" y="0"/>
                      <a:ext cx="5600700" cy="168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C6E3D0" w14:textId="632C84B6" w:rsidR="00AD669E" w:rsidRDefault="00AD669E" w:rsidP="000118AE">
      <w:pPr>
        <w:rPr>
          <w:rFonts w:cstheme="minorHAnsi"/>
          <w:b/>
          <w:sz w:val="24"/>
          <w:szCs w:val="24"/>
          <w:u w:val="single"/>
        </w:rPr>
      </w:pPr>
    </w:p>
    <w:p w14:paraId="6C9D42EA" w14:textId="77777777" w:rsidR="00AE5626" w:rsidRDefault="00AE5626">
      <w:pPr>
        <w:rPr>
          <w:rFonts w:cstheme="minorHAnsi"/>
          <w:bCs/>
          <w:color w:val="000000" w:themeColor="text1"/>
          <w:sz w:val="32"/>
          <w:szCs w:val="32"/>
        </w:rPr>
      </w:pPr>
      <w:r>
        <w:rPr>
          <w:rFonts w:cstheme="minorHAnsi"/>
          <w:bCs/>
          <w:color w:val="000000" w:themeColor="text1"/>
          <w:sz w:val="32"/>
          <w:szCs w:val="32"/>
        </w:rPr>
        <w:br w:type="page"/>
      </w:r>
    </w:p>
    <w:p w14:paraId="6F648C01" w14:textId="708FDC9D" w:rsidR="000118AE" w:rsidRPr="00AE5626" w:rsidRDefault="000118AE" w:rsidP="00AE5626">
      <w:pPr>
        <w:pStyle w:val="ListParagraph"/>
        <w:numPr>
          <w:ilvl w:val="0"/>
          <w:numId w:val="32"/>
        </w:numPr>
        <w:ind w:left="0"/>
        <w:rPr>
          <w:rFonts w:cstheme="minorHAnsi"/>
          <w:b/>
          <w:color w:val="000000" w:themeColor="text1"/>
          <w:sz w:val="24"/>
          <w:szCs w:val="24"/>
          <w:u w:val="single"/>
        </w:rPr>
      </w:pPr>
      <w:bookmarkStart w:id="4" w:name="Ethnicity"/>
      <w:r w:rsidRPr="00AE5626">
        <w:rPr>
          <w:rFonts w:cstheme="minorHAnsi"/>
          <w:b/>
          <w:color w:val="000000" w:themeColor="text1"/>
          <w:sz w:val="24"/>
          <w:szCs w:val="24"/>
          <w:u w:val="single"/>
        </w:rPr>
        <w:lastRenderedPageBreak/>
        <w:t>Ethnicity</w:t>
      </w:r>
    </w:p>
    <w:bookmarkEnd w:id="4"/>
    <w:p w14:paraId="004415E4" w14:textId="77777777" w:rsidR="00AE5626" w:rsidRDefault="00AE5626" w:rsidP="00AB26D5">
      <w:pPr>
        <w:rPr>
          <w:rFonts w:cstheme="minorHAnsi"/>
        </w:rPr>
      </w:pPr>
    </w:p>
    <w:p w14:paraId="69ADFD83" w14:textId="1564E2D5" w:rsidR="00AB26D5" w:rsidRDefault="00AB26D5" w:rsidP="00DE703D">
      <w:pPr>
        <w:pStyle w:val="ListParagraph"/>
        <w:numPr>
          <w:ilvl w:val="1"/>
          <w:numId w:val="32"/>
        </w:numPr>
        <w:ind w:left="0"/>
        <w:rPr>
          <w:rFonts w:cstheme="minorHAnsi"/>
        </w:rPr>
      </w:pPr>
      <w:r w:rsidRPr="00AE5626">
        <w:rPr>
          <w:rFonts w:cstheme="minorHAnsi"/>
        </w:rPr>
        <w:t>It is worth considering the vaccine roll</w:t>
      </w:r>
      <w:r w:rsidR="003C22FC" w:rsidRPr="00AE5626">
        <w:rPr>
          <w:rFonts w:cstheme="minorHAnsi"/>
        </w:rPr>
        <w:t>out and decline rates</w:t>
      </w:r>
      <w:r w:rsidRPr="00AE5626">
        <w:rPr>
          <w:rFonts w:cstheme="minorHAnsi"/>
        </w:rPr>
        <w:t xml:space="preserve"> </w:t>
      </w:r>
      <w:r w:rsidR="003C22FC" w:rsidRPr="00AE5626">
        <w:rPr>
          <w:rFonts w:cstheme="minorHAnsi"/>
        </w:rPr>
        <w:t>in the context of</w:t>
      </w:r>
      <w:r w:rsidRPr="00AE5626">
        <w:rPr>
          <w:rFonts w:cstheme="minorHAnsi"/>
        </w:rPr>
        <w:t xml:space="preserve"> ethnicity. Data from the community suggest</w:t>
      </w:r>
      <w:r w:rsidR="001C62DF">
        <w:rPr>
          <w:rFonts w:cstheme="minorHAnsi"/>
        </w:rPr>
        <w:t>s</w:t>
      </w:r>
      <w:r w:rsidRPr="00AE5626">
        <w:rPr>
          <w:rFonts w:cstheme="minorHAnsi"/>
        </w:rPr>
        <w:t xml:space="preserve"> that</w:t>
      </w:r>
      <w:r w:rsidR="003C22FC" w:rsidRPr="00AE5626">
        <w:rPr>
          <w:rFonts w:cstheme="minorHAnsi"/>
        </w:rPr>
        <w:t xml:space="preserve"> vaccine</w:t>
      </w:r>
      <w:r w:rsidRPr="00AE5626">
        <w:rPr>
          <w:rFonts w:cstheme="minorHAnsi"/>
        </w:rPr>
        <w:t xml:space="preserve"> hesitancy amongst ethnic minorities is not exclusive to the Covid 19 vaccination programme. When looking at community decline rates the British Medical Journal (BMJ) state that:</w:t>
      </w:r>
    </w:p>
    <w:p w14:paraId="0B26AC94" w14:textId="77777777" w:rsidR="00DE703D" w:rsidRPr="00AE5626" w:rsidRDefault="00DE703D" w:rsidP="00DE703D">
      <w:pPr>
        <w:pStyle w:val="ListParagraph"/>
        <w:ind w:left="0"/>
        <w:rPr>
          <w:rFonts w:cstheme="minorHAnsi"/>
        </w:rPr>
      </w:pPr>
    </w:p>
    <w:p w14:paraId="52E378F5" w14:textId="289B7F4F" w:rsidR="00AB26D5" w:rsidRDefault="00DE703D" w:rsidP="00BA0553">
      <w:pPr>
        <w:pStyle w:val="ListParagraph"/>
        <w:ind w:left="0"/>
        <w:rPr>
          <w:rFonts w:cstheme="minorHAnsi"/>
          <w:i/>
        </w:rPr>
      </w:pPr>
      <w:r>
        <w:rPr>
          <w:rFonts w:cstheme="minorHAnsi"/>
          <w:i/>
        </w:rPr>
        <w:t>‘</w:t>
      </w:r>
      <w:r w:rsidR="00AB26D5" w:rsidRPr="00AE5626">
        <w:rPr>
          <w:rFonts w:cstheme="minorHAnsi"/>
          <w:i/>
        </w:rPr>
        <w:t>This data follows a historical trend of lower vaccine uptake in areas with a higher proportion of ethnic minority groups in England. Cohort studies using a primary care database of 12 million people show consistently lower uptake of influenza and pneumococcal vaccines in black Caribbean and African populations (50%) than in the white population (70%); lower vaccine uptake was also observed in people from South Asian backgrounds.</w:t>
      </w:r>
      <w:r>
        <w:rPr>
          <w:rFonts w:cstheme="minorHAnsi"/>
          <w:i/>
        </w:rPr>
        <w:t>’</w:t>
      </w:r>
    </w:p>
    <w:p w14:paraId="34AA9561" w14:textId="77777777" w:rsidR="00DE703D" w:rsidRPr="00DE703D" w:rsidRDefault="00DE703D" w:rsidP="00DE703D">
      <w:pPr>
        <w:pStyle w:val="ListParagraph"/>
        <w:rPr>
          <w:rFonts w:cstheme="minorHAnsi"/>
          <w:i/>
        </w:rPr>
      </w:pPr>
    </w:p>
    <w:p w14:paraId="69732D3D" w14:textId="11CEA86F" w:rsidR="00AE5626" w:rsidRPr="00DE703D" w:rsidRDefault="00AB26D5" w:rsidP="00DE703D">
      <w:pPr>
        <w:pStyle w:val="ListParagraph"/>
        <w:numPr>
          <w:ilvl w:val="1"/>
          <w:numId w:val="32"/>
        </w:numPr>
        <w:ind w:left="0"/>
        <w:rPr>
          <w:rFonts w:cstheme="minorHAnsi"/>
        </w:rPr>
      </w:pPr>
      <w:r w:rsidRPr="00AE5626">
        <w:rPr>
          <w:rFonts w:cstheme="minorHAnsi"/>
        </w:rPr>
        <w:t>The BMJ quote</w:t>
      </w:r>
      <w:r w:rsidR="00BA0553">
        <w:rPr>
          <w:rFonts w:cstheme="minorHAnsi"/>
        </w:rPr>
        <w:t xml:space="preserve"> the following</w:t>
      </w:r>
      <w:r w:rsidRPr="00AE5626">
        <w:rPr>
          <w:rFonts w:cstheme="minorHAnsi"/>
        </w:rPr>
        <w:t xml:space="preserve"> to provide some historical context into </w:t>
      </w:r>
      <w:r w:rsidRPr="00AE5626">
        <w:rPr>
          <w:rFonts w:cstheme="minorHAnsi"/>
          <w:color w:val="333333"/>
        </w:rPr>
        <w:t>Covid-19 vaccine hesitancy among ethnic minority groups</w:t>
      </w:r>
      <w:r w:rsidR="00DE703D">
        <w:rPr>
          <w:rFonts w:cstheme="minorHAnsi"/>
          <w:color w:val="333333"/>
        </w:rPr>
        <w:t>:</w:t>
      </w:r>
    </w:p>
    <w:p w14:paraId="562C38FD" w14:textId="77777777" w:rsidR="00DE703D" w:rsidRPr="00DE703D" w:rsidRDefault="00DE703D" w:rsidP="00DE703D">
      <w:pPr>
        <w:pStyle w:val="ListParagraph"/>
        <w:rPr>
          <w:rFonts w:cstheme="minorHAnsi"/>
        </w:rPr>
      </w:pPr>
    </w:p>
    <w:p w14:paraId="3F022E83" w14:textId="21DC3154" w:rsidR="00AE5626" w:rsidRPr="00DE703D" w:rsidRDefault="00DE703D" w:rsidP="00BA0553">
      <w:pPr>
        <w:pStyle w:val="ListParagraph"/>
        <w:ind w:left="0"/>
        <w:rPr>
          <w:rFonts w:cstheme="minorHAnsi"/>
        </w:rPr>
      </w:pPr>
      <w:r>
        <w:rPr>
          <w:rFonts w:cstheme="minorHAnsi"/>
          <w:i/>
          <w:color w:val="333333"/>
          <w:shd w:val="clear" w:color="auto" w:fill="FFFFFF"/>
        </w:rPr>
        <w:t>‘</w:t>
      </w:r>
      <w:r w:rsidR="00AB26D5" w:rsidRPr="00AE5626">
        <w:rPr>
          <w:rFonts w:cstheme="minorHAnsi"/>
          <w:i/>
          <w:color w:val="333333"/>
          <w:shd w:val="clear" w:color="auto" w:fill="FFFFFF"/>
        </w:rPr>
        <w:t>Trust is eroded by systemic racism and discrimination</w:t>
      </w:r>
      <w:r w:rsidR="00AB26D5" w:rsidRPr="00AE5626">
        <w:rPr>
          <w:rFonts w:cstheme="minorHAnsi"/>
          <w:i/>
          <w:iCs/>
          <w:color w:val="333333"/>
          <w:shd w:val="clear" w:color="auto" w:fill="FFFFFF"/>
        </w:rPr>
        <w:t>,</w:t>
      </w:r>
      <w:r w:rsidR="00AB26D5" w:rsidRPr="00AE5626">
        <w:rPr>
          <w:rFonts w:cstheme="minorHAnsi"/>
          <w:i/>
          <w:color w:val="333333"/>
          <w:shd w:val="clear" w:color="auto" w:fill="FFFFFF"/>
        </w:rPr>
        <w:t> previous unethical healthcare research in black populations</w:t>
      </w:r>
      <w:r w:rsidR="00AB26D5" w:rsidRPr="00AE5626">
        <w:rPr>
          <w:rFonts w:cstheme="minorHAnsi"/>
          <w:i/>
          <w:iCs/>
          <w:color w:val="333333"/>
          <w:shd w:val="clear" w:color="auto" w:fill="FFFFFF"/>
        </w:rPr>
        <w:t>,</w:t>
      </w:r>
      <w:r w:rsidR="00AB26D5" w:rsidRPr="00AE5626">
        <w:rPr>
          <w:rFonts w:cstheme="minorHAnsi"/>
          <w:i/>
          <w:color w:val="333333"/>
          <w:shd w:val="clear" w:color="auto" w:fill="FFFFFF"/>
        </w:rPr>
        <w:t> under-representation of minorities in health research and vaccine trials</w:t>
      </w:r>
      <w:r w:rsidR="00AB26D5" w:rsidRPr="00AE5626">
        <w:rPr>
          <w:rFonts w:cstheme="minorHAnsi"/>
          <w:i/>
          <w:iCs/>
          <w:color w:val="333333"/>
          <w:shd w:val="clear" w:color="auto" w:fill="FFFFFF"/>
        </w:rPr>
        <w:t>,</w:t>
      </w:r>
      <w:r w:rsidR="00AB26D5" w:rsidRPr="00AE5626">
        <w:rPr>
          <w:rFonts w:cstheme="minorHAnsi"/>
          <w:i/>
          <w:color w:val="333333"/>
          <w:shd w:val="clear" w:color="auto" w:fill="FFFFFF"/>
        </w:rPr>
        <w:t xml:space="preserve"> and negative experiences within a culturally insensitive healthcare </w:t>
      </w:r>
      <w:r w:rsidR="00AB26D5" w:rsidRPr="00AE5626">
        <w:rPr>
          <w:rFonts w:cstheme="minorHAnsi"/>
          <w:i/>
          <w:iCs/>
          <w:color w:val="333333"/>
          <w:shd w:val="clear" w:color="auto" w:fill="FFFFFF"/>
        </w:rPr>
        <w:t>system.</w:t>
      </w:r>
      <w:r>
        <w:rPr>
          <w:rFonts w:cstheme="minorHAnsi"/>
          <w:i/>
          <w:iCs/>
          <w:color w:val="333333"/>
          <w:shd w:val="clear" w:color="auto" w:fill="FFFFFF"/>
        </w:rPr>
        <w:t>’</w:t>
      </w:r>
    </w:p>
    <w:p w14:paraId="479F6686" w14:textId="77777777" w:rsidR="00DE703D" w:rsidRPr="00DE703D" w:rsidRDefault="00DE703D" w:rsidP="00DE703D">
      <w:pPr>
        <w:pStyle w:val="ListParagraph"/>
        <w:rPr>
          <w:rFonts w:cstheme="minorHAnsi"/>
        </w:rPr>
      </w:pPr>
    </w:p>
    <w:p w14:paraId="26AFDE81" w14:textId="642E2A99" w:rsidR="00165C27" w:rsidRDefault="005F683B" w:rsidP="00DE703D">
      <w:pPr>
        <w:pStyle w:val="ListParagraph"/>
        <w:numPr>
          <w:ilvl w:val="1"/>
          <w:numId w:val="32"/>
        </w:numPr>
        <w:ind w:left="0"/>
        <w:rPr>
          <w:rFonts w:cstheme="minorHAnsi"/>
        </w:rPr>
      </w:pPr>
      <w:r w:rsidRPr="00AE5626">
        <w:rPr>
          <w:rFonts w:cstheme="minorHAnsi"/>
        </w:rPr>
        <w:t xml:space="preserve">Looking </w:t>
      </w:r>
      <w:r w:rsidR="00D6440F" w:rsidRPr="00AE5626">
        <w:rPr>
          <w:rFonts w:cstheme="minorHAnsi"/>
        </w:rPr>
        <w:t>at the prisons</w:t>
      </w:r>
      <w:r w:rsidR="00437C9F" w:rsidRPr="00AE5626">
        <w:rPr>
          <w:rFonts w:cstheme="minorHAnsi"/>
        </w:rPr>
        <w:t xml:space="preserve"> </w:t>
      </w:r>
      <w:r w:rsidR="00116496" w:rsidRPr="00AE5626">
        <w:rPr>
          <w:rFonts w:cstheme="minorHAnsi"/>
        </w:rPr>
        <w:t>with decline rates over 20%</w:t>
      </w:r>
      <w:r w:rsidR="001F3F5A">
        <w:rPr>
          <w:rFonts w:cstheme="minorHAnsi"/>
        </w:rPr>
        <w:t xml:space="preserve">, </w:t>
      </w:r>
      <w:r w:rsidR="003C22FC" w:rsidRPr="00AE5626">
        <w:rPr>
          <w:rFonts w:cstheme="minorHAnsi"/>
        </w:rPr>
        <w:t>six</w:t>
      </w:r>
      <w:r w:rsidR="00B333A1" w:rsidRPr="00AE5626">
        <w:rPr>
          <w:rFonts w:cstheme="minorHAnsi"/>
        </w:rPr>
        <w:t xml:space="preserve"> out of the </w:t>
      </w:r>
      <w:r w:rsidR="00687C94" w:rsidRPr="00AE5626">
        <w:rPr>
          <w:rFonts w:cstheme="minorHAnsi"/>
        </w:rPr>
        <w:t xml:space="preserve">top </w:t>
      </w:r>
      <w:r w:rsidR="003C22FC" w:rsidRPr="00AE5626">
        <w:rPr>
          <w:rFonts w:cstheme="minorHAnsi"/>
        </w:rPr>
        <w:t>ten</w:t>
      </w:r>
      <w:r w:rsidR="00692AC5" w:rsidRPr="00AE5626">
        <w:rPr>
          <w:rFonts w:cstheme="minorHAnsi"/>
        </w:rPr>
        <w:t xml:space="preserve"> </w:t>
      </w:r>
      <w:r w:rsidR="00331C87" w:rsidRPr="00AE5626">
        <w:rPr>
          <w:rFonts w:cstheme="minorHAnsi"/>
        </w:rPr>
        <w:t>sites with the highest</w:t>
      </w:r>
      <w:r w:rsidR="00715D3D" w:rsidRPr="00AE5626">
        <w:rPr>
          <w:rFonts w:cstheme="minorHAnsi"/>
        </w:rPr>
        <w:t xml:space="preserve"> </w:t>
      </w:r>
      <w:r w:rsidR="00B7673C" w:rsidRPr="00AE5626">
        <w:rPr>
          <w:rFonts w:cstheme="minorHAnsi"/>
        </w:rPr>
        <w:t>decline</w:t>
      </w:r>
      <w:r w:rsidR="00715D3D" w:rsidRPr="00AE5626">
        <w:rPr>
          <w:rFonts w:cstheme="minorHAnsi"/>
        </w:rPr>
        <w:t xml:space="preserve"> rate </w:t>
      </w:r>
      <w:r w:rsidR="003C22FC" w:rsidRPr="00AE5626">
        <w:rPr>
          <w:rFonts w:cstheme="minorHAnsi"/>
        </w:rPr>
        <w:t xml:space="preserve">also </w:t>
      </w:r>
      <w:r w:rsidR="003E2FBE" w:rsidRPr="00AE5626">
        <w:rPr>
          <w:rFonts w:cstheme="minorHAnsi"/>
        </w:rPr>
        <w:t>have the</w:t>
      </w:r>
      <w:r w:rsidR="00D80447" w:rsidRPr="00AE5626">
        <w:rPr>
          <w:rFonts w:cstheme="minorHAnsi"/>
        </w:rPr>
        <w:t xml:space="preserve"> </w:t>
      </w:r>
      <w:r w:rsidR="003C6888" w:rsidRPr="00AE5626">
        <w:rPr>
          <w:rFonts w:cstheme="minorHAnsi"/>
        </w:rPr>
        <w:t xml:space="preserve">highest </w:t>
      </w:r>
      <w:r w:rsidR="00A53FEE" w:rsidRPr="00AE5626">
        <w:rPr>
          <w:rFonts w:cstheme="minorHAnsi"/>
        </w:rPr>
        <w:t xml:space="preserve">percentage of </w:t>
      </w:r>
      <w:r w:rsidR="00A8441D" w:rsidRPr="00AE5626">
        <w:rPr>
          <w:rFonts w:cstheme="minorHAnsi"/>
        </w:rPr>
        <w:t>BAME</w:t>
      </w:r>
      <w:r w:rsidR="00A53FEE" w:rsidRPr="00AE5626">
        <w:rPr>
          <w:rFonts w:cstheme="minorHAnsi"/>
        </w:rPr>
        <w:t xml:space="preserve"> prisoners</w:t>
      </w:r>
      <w:r w:rsidR="004157F7" w:rsidRPr="00AE5626">
        <w:rPr>
          <w:rFonts w:cstheme="minorHAnsi"/>
        </w:rPr>
        <w:t xml:space="preserve"> </w:t>
      </w:r>
      <w:r w:rsidR="002F1443">
        <w:rPr>
          <w:rFonts w:cstheme="minorHAnsi"/>
        </w:rPr>
        <w:t>in</w:t>
      </w:r>
      <w:r w:rsidR="004157F7" w:rsidRPr="00AE5626">
        <w:rPr>
          <w:rFonts w:cstheme="minorHAnsi"/>
        </w:rPr>
        <w:t xml:space="preserve"> their population</w:t>
      </w:r>
      <w:r w:rsidR="008862B5" w:rsidRPr="00AE5626">
        <w:rPr>
          <w:rFonts w:cstheme="minorHAnsi"/>
        </w:rPr>
        <w:t>.</w:t>
      </w:r>
      <w:r w:rsidR="009C3CAF" w:rsidRPr="00AE5626">
        <w:rPr>
          <w:rFonts w:cstheme="minorHAnsi"/>
        </w:rPr>
        <w:t xml:space="preserve"> These </w:t>
      </w:r>
      <w:r w:rsidR="003C22FC" w:rsidRPr="00AE5626">
        <w:rPr>
          <w:rFonts w:cstheme="minorHAnsi"/>
        </w:rPr>
        <w:t>six</w:t>
      </w:r>
      <w:r w:rsidR="009C3CAF" w:rsidRPr="00AE5626">
        <w:rPr>
          <w:rFonts w:cstheme="minorHAnsi"/>
        </w:rPr>
        <w:t xml:space="preserve"> sites are </w:t>
      </w:r>
      <w:r w:rsidR="00BA0553">
        <w:rPr>
          <w:rFonts w:cstheme="minorHAnsi"/>
        </w:rPr>
        <w:t xml:space="preserve">HMP/YOI </w:t>
      </w:r>
      <w:r w:rsidR="009C3CAF" w:rsidRPr="00AE5626">
        <w:rPr>
          <w:rFonts w:cstheme="minorHAnsi"/>
        </w:rPr>
        <w:t xml:space="preserve">Isis, </w:t>
      </w:r>
      <w:r w:rsidR="00BA0553">
        <w:rPr>
          <w:rFonts w:cstheme="minorHAnsi"/>
        </w:rPr>
        <w:t xml:space="preserve">HMP </w:t>
      </w:r>
      <w:r w:rsidR="009C3CAF" w:rsidRPr="00AE5626">
        <w:rPr>
          <w:rFonts w:cstheme="minorHAnsi"/>
        </w:rPr>
        <w:t xml:space="preserve">Huntercombe, </w:t>
      </w:r>
      <w:r w:rsidR="00BA0553">
        <w:rPr>
          <w:rFonts w:cstheme="minorHAnsi"/>
        </w:rPr>
        <w:t xml:space="preserve">HMP/YOI </w:t>
      </w:r>
      <w:r w:rsidR="009C3CAF" w:rsidRPr="00AE5626">
        <w:rPr>
          <w:rFonts w:cstheme="minorHAnsi"/>
        </w:rPr>
        <w:t xml:space="preserve">Aylesbury, </w:t>
      </w:r>
      <w:r w:rsidR="00BA0553">
        <w:rPr>
          <w:rFonts w:cstheme="minorHAnsi"/>
        </w:rPr>
        <w:t xml:space="preserve">HMP </w:t>
      </w:r>
      <w:r w:rsidR="009C3CAF" w:rsidRPr="00AE5626">
        <w:rPr>
          <w:rFonts w:cstheme="minorHAnsi"/>
        </w:rPr>
        <w:t>Brixton</w:t>
      </w:r>
      <w:r w:rsidR="000F0DF3" w:rsidRPr="00AE5626">
        <w:rPr>
          <w:rFonts w:cstheme="minorHAnsi"/>
        </w:rPr>
        <w:t>,</w:t>
      </w:r>
      <w:r w:rsidR="00CD7B1E" w:rsidRPr="00AE5626">
        <w:rPr>
          <w:rFonts w:cstheme="minorHAnsi"/>
        </w:rPr>
        <w:t xml:space="preserve"> </w:t>
      </w:r>
      <w:r w:rsidR="00BA0553">
        <w:rPr>
          <w:rFonts w:cstheme="minorHAnsi"/>
        </w:rPr>
        <w:t xml:space="preserve">HMP </w:t>
      </w:r>
      <w:r w:rsidR="00CD7B1E" w:rsidRPr="00AE5626">
        <w:rPr>
          <w:rFonts w:cstheme="minorHAnsi"/>
        </w:rPr>
        <w:t xml:space="preserve">Onley and </w:t>
      </w:r>
      <w:r w:rsidR="00BA0553">
        <w:rPr>
          <w:rFonts w:cstheme="minorHAnsi"/>
        </w:rPr>
        <w:t xml:space="preserve">HMP </w:t>
      </w:r>
      <w:r w:rsidR="00CD7B1E" w:rsidRPr="00AE5626">
        <w:rPr>
          <w:rFonts w:cstheme="minorHAnsi"/>
        </w:rPr>
        <w:t>Pentonville</w:t>
      </w:r>
      <w:r w:rsidR="00A83D2E" w:rsidRPr="00AE5626">
        <w:rPr>
          <w:rFonts w:cstheme="minorHAnsi"/>
        </w:rPr>
        <w:t>,</w:t>
      </w:r>
      <w:r w:rsidR="00CD7B1E" w:rsidRPr="00AE5626">
        <w:rPr>
          <w:rFonts w:cstheme="minorHAnsi"/>
        </w:rPr>
        <w:t xml:space="preserve"> with </w:t>
      </w:r>
      <w:r w:rsidR="00D529CD" w:rsidRPr="00AE5626">
        <w:rPr>
          <w:rFonts w:cstheme="minorHAnsi"/>
        </w:rPr>
        <w:t xml:space="preserve">NHS </w:t>
      </w:r>
      <w:r w:rsidR="00CD7B1E" w:rsidRPr="00AE5626">
        <w:rPr>
          <w:rFonts w:cstheme="minorHAnsi"/>
        </w:rPr>
        <w:t xml:space="preserve">decline rates varying from </w:t>
      </w:r>
      <w:r w:rsidR="00D529CD" w:rsidRPr="00AE5626">
        <w:rPr>
          <w:rFonts w:cstheme="minorHAnsi"/>
        </w:rPr>
        <w:t>24% t</w:t>
      </w:r>
      <w:r w:rsidR="006F6046" w:rsidRPr="00AE5626">
        <w:rPr>
          <w:rFonts w:cstheme="minorHAnsi"/>
        </w:rPr>
        <w:t xml:space="preserve">o 34% and </w:t>
      </w:r>
      <w:r w:rsidR="004D4FF1" w:rsidRPr="00AE5626">
        <w:rPr>
          <w:rFonts w:cstheme="minorHAnsi"/>
        </w:rPr>
        <w:t>l</w:t>
      </w:r>
      <w:r w:rsidR="006F6046" w:rsidRPr="00AE5626">
        <w:rPr>
          <w:rFonts w:cstheme="minorHAnsi"/>
        </w:rPr>
        <w:t xml:space="preserve">ocal data </w:t>
      </w:r>
      <w:r w:rsidR="00C80C6A" w:rsidRPr="00AE5626">
        <w:rPr>
          <w:rFonts w:cstheme="minorHAnsi"/>
        </w:rPr>
        <w:t xml:space="preserve">decline </w:t>
      </w:r>
      <w:r w:rsidR="006F6046" w:rsidRPr="00AE5626">
        <w:rPr>
          <w:rFonts w:cstheme="minorHAnsi"/>
        </w:rPr>
        <w:t xml:space="preserve">rates varying from </w:t>
      </w:r>
      <w:r w:rsidR="001B58F6" w:rsidRPr="00AE5626">
        <w:rPr>
          <w:rFonts w:cstheme="minorHAnsi"/>
        </w:rPr>
        <w:t>15% to 53%.</w:t>
      </w:r>
      <w:r w:rsidR="00D43146" w:rsidRPr="00AE5626">
        <w:rPr>
          <w:rFonts w:cstheme="minorHAnsi"/>
        </w:rPr>
        <w:t xml:space="preserve"> </w:t>
      </w:r>
      <w:r w:rsidR="00A31AC9" w:rsidRPr="00AE5626">
        <w:rPr>
          <w:rFonts w:cstheme="minorHAnsi"/>
        </w:rPr>
        <w:t xml:space="preserve">When collecting feedback on vaccine hesitancy from these sites, the </w:t>
      </w:r>
      <w:r w:rsidR="0064581F" w:rsidRPr="00AE5626">
        <w:rPr>
          <w:rFonts w:cstheme="minorHAnsi"/>
        </w:rPr>
        <w:t>prisons</w:t>
      </w:r>
      <w:r w:rsidR="00537F67" w:rsidRPr="00AE5626">
        <w:rPr>
          <w:rFonts w:cstheme="minorHAnsi"/>
        </w:rPr>
        <w:t xml:space="preserve"> cited </w:t>
      </w:r>
      <w:r w:rsidR="00202407" w:rsidRPr="00AE5626">
        <w:rPr>
          <w:rFonts w:cstheme="minorHAnsi"/>
        </w:rPr>
        <w:t xml:space="preserve">decline </w:t>
      </w:r>
      <w:r w:rsidR="00537F67" w:rsidRPr="00AE5626">
        <w:rPr>
          <w:rFonts w:cstheme="minorHAnsi"/>
        </w:rPr>
        <w:t>reasons such as</w:t>
      </w:r>
      <w:r w:rsidR="00D81853" w:rsidRPr="00AE5626">
        <w:rPr>
          <w:rFonts w:cstheme="minorHAnsi"/>
        </w:rPr>
        <w:t>:</w:t>
      </w:r>
    </w:p>
    <w:p w14:paraId="57F50B56" w14:textId="77777777" w:rsidR="00DE703D" w:rsidRPr="00DE703D" w:rsidRDefault="00DE703D" w:rsidP="00DE703D">
      <w:pPr>
        <w:pStyle w:val="ListParagraph"/>
        <w:rPr>
          <w:rFonts w:cstheme="minorHAnsi"/>
        </w:rPr>
      </w:pPr>
    </w:p>
    <w:p w14:paraId="4ECAB64F" w14:textId="70518B2C" w:rsidR="0064581F" w:rsidRPr="00B67AAE" w:rsidRDefault="00BA0553" w:rsidP="00DE703D">
      <w:pPr>
        <w:pStyle w:val="ListParagraph"/>
        <w:numPr>
          <w:ilvl w:val="0"/>
          <w:numId w:val="8"/>
        </w:numPr>
        <w:ind w:left="284" w:hanging="284"/>
        <w:rPr>
          <w:rFonts w:cstheme="minorHAnsi"/>
        </w:rPr>
      </w:pPr>
      <w:r>
        <w:rPr>
          <w:rFonts w:cstheme="minorHAnsi"/>
        </w:rPr>
        <w:t xml:space="preserve">Family influence was cited as a big factor at HMP </w:t>
      </w:r>
      <w:r w:rsidR="00175034" w:rsidRPr="00B67AAE">
        <w:rPr>
          <w:rFonts w:cstheme="minorHAnsi"/>
        </w:rPr>
        <w:t xml:space="preserve">Brixton, </w:t>
      </w:r>
      <w:r>
        <w:rPr>
          <w:rFonts w:cstheme="minorHAnsi"/>
        </w:rPr>
        <w:t xml:space="preserve">HMP/YOI </w:t>
      </w:r>
      <w:r w:rsidR="00175034" w:rsidRPr="00B67AAE">
        <w:rPr>
          <w:rFonts w:cstheme="minorHAnsi"/>
        </w:rPr>
        <w:t xml:space="preserve">Aylesbury and </w:t>
      </w:r>
      <w:r>
        <w:rPr>
          <w:rFonts w:cstheme="minorHAnsi"/>
        </w:rPr>
        <w:t xml:space="preserve">HMP/YOI </w:t>
      </w:r>
      <w:r w:rsidR="00175034" w:rsidRPr="00B67AAE">
        <w:rPr>
          <w:rFonts w:cstheme="minorHAnsi"/>
        </w:rPr>
        <w:t>I</w:t>
      </w:r>
      <w:r w:rsidR="00093915" w:rsidRPr="00B67AAE">
        <w:rPr>
          <w:rFonts w:cstheme="minorHAnsi"/>
        </w:rPr>
        <w:t>sis</w:t>
      </w:r>
      <w:r w:rsidR="00E54C45" w:rsidRPr="00B67AAE">
        <w:rPr>
          <w:rFonts w:cstheme="minorHAnsi"/>
        </w:rPr>
        <w:t xml:space="preserve">, </w:t>
      </w:r>
      <w:r>
        <w:rPr>
          <w:rFonts w:cstheme="minorHAnsi"/>
        </w:rPr>
        <w:t>with</w:t>
      </w:r>
      <w:r w:rsidR="00E54C45" w:rsidRPr="00B67AAE">
        <w:rPr>
          <w:rFonts w:cstheme="minorHAnsi"/>
        </w:rPr>
        <w:t xml:space="preserve"> family members telling prison</w:t>
      </w:r>
      <w:r w:rsidR="00C77ED1" w:rsidRPr="00B67AAE">
        <w:rPr>
          <w:rFonts w:cstheme="minorHAnsi"/>
        </w:rPr>
        <w:t>er</w:t>
      </w:r>
      <w:r w:rsidR="00E54C45" w:rsidRPr="00B67AAE">
        <w:rPr>
          <w:rFonts w:cstheme="minorHAnsi"/>
        </w:rPr>
        <w:t xml:space="preserve">s to </w:t>
      </w:r>
      <w:r w:rsidR="00A31AC9" w:rsidRPr="00B67AAE">
        <w:rPr>
          <w:rFonts w:cstheme="minorHAnsi"/>
        </w:rPr>
        <w:t xml:space="preserve">either wait to </w:t>
      </w:r>
      <w:r w:rsidR="00E54C45" w:rsidRPr="00B67AAE">
        <w:rPr>
          <w:rFonts w:cstheme="minorHAnsi"/>
        </w:rPr>
        <w:t xml:space="preserve">have the vaccine when released or not at all. </w:t>
      </w:r>
    </w:p>
    <w:p w14:paraId="570F0515" w14:textId="559ED40D" w:rsidR="00A94BF1" w:rsidRPr="00B67AAE" w:rsidRDefault="001C62DF" w:rsidP="00DE703D">
      <w:pPr>
        <w:pStyle w:val="ListParagraph"/>
        <w:numPr>
          <w:ilvl w:val="0"/>
          <w:numId w:val="8"/>
        </w:numPr>
        <w:ind w:left="284" w:hanging="284"/>
        <w:rPr>
          <w:rFonts w:cstheme="minorHAnsi"/>
        </w:rPr>
      </w:pPr>
      <w:r>
        <w:rPr>
          <w:rFonts w:cstheme="minorHAnsi"/>
        </w:rPr>
        <w:t>L</w:t>
      </w:r>
      <w:r w:rsidR="00831CB0" w:rsidRPr="00B67AAE">
        <w:rPr>
          <w:rFonts w:cstheme="minorHAnsi"/>
        </w:rPr>
        <w:t>ack of trust in the government</w:t>
      </w:r>
      <w:r w:rsidR="00BA0553">
        <w:rPr>
          <w:rFonts w:cstheme="minorHAnsi"/>
        </w:rPr>
        <w:t xml:space="preserve"> was noted at HMP/YOI Aylesbury and HMP Huntercombe</w:t>
      </w:r>
      <w:r w:rsidR="00BF72A3" w:rsidRPr="00B67AAE">
        <w:rPr>
          <w:rFonts w:cstheme="minorHAnsi"/>
        </w:rPr>
        <w:t xml:space="preserve">, which has </w:t>
      </w:r>
      <w:r w:rsidR="002F1443">
        <w:rPr>
          <w:rFonts w:cstheme="minorHAnsi"/>
        </w:rPr>
        <w:t xml:space="preserve">also </w:t>
      </w:r>
      <w:r w:rsidR="00BF72A3" w:rsidRPr="00B67AAE">
        <w:rPr>
          <w:rFonts w:cstheme="minorHAnsi"/>
        </w:rPr>
        <w:t>been noted in research into BAME hesitancy in the community</w:t>
      </w:r>
      <w:r w:rsidR="00831CB0" w:rsidRPr="00B67AAE">
        <w:rPr>
          <w:rFonts w:cstheme="minorHAnsi"/>
        </w:rPr>
        <w:t>.</w:t>
      </w:r>
    </w:p>
    <w:p w14:paraId="21AD846E" w14:textId="6A2B8496" w:rsidR="00766AE8" w:rsidRPr="00B67AAE" w:rsidRDefault="00766AE8" w:rsidP="00DE703D">
      <w:pPr>
        <w:pStyle w:val="ListParagraph"/>
        <w:numPr>
          <w:ilvl w:val="0"/>
          <w:numId w:val="8"/>
        </w:numPr>
        <w:ind w:left="284" w:hanging="284"/>
        <w:rPr>
          <w:rFonts w:cstheme="minorHAnsi"/>
        </w:rPr>
      </w:pPr>
      <w:r w:rsidRPr="00B67AAE">
        <w:rPr>
          <w:rFonts w:cstheme="minorHAnsi"/>
        </w:rPr>
        <w:t>Not wanting to be ‘</w:t>
      </w:r>
      <w:r w:rsidR="002F1443">
        <w:rPr>
          <w:rFonts w:cstheme="minorHAnsi"/>
        </w:rPr>
        <w:t>g</w:t>
      </w:r>
      <w:r w:rsidRPr="00B67AAE">
        <w:rPr>
          <w:rFonts w:cstheme="minorHAnsi"/>
        </w:rPr>
        <w:t>uine</w:t>
      </w:r>
      <w:r w:rsidR="00825779" w:rsidRPr="00B67AAE">
        <w:rPr>
          <w:rFonts w:cstheme="minorHAnsi"/>
        </w:rPr>
        <w:t>a</w:t>
      </w:r>
      <w:r w:rsidR="002F1443">
        <w:rPr>
          <w:rFonts w:cstheme="minorHAnsi"/>
        </w:rPr>
        <w:t xml:space="preserve"> </w:t>
      </w:r>
      <w:r w:rsidR="00093915" w:rsidRPr="00B67AAE">
        <w:rPr>
          <w:rFonts w:cstheme="minorHAnsi"/>
        </w:rPr>
        <w:t>p</w:t>
      </w:r>
      <w:r w:rsidRPr="00B67AAE">
        <w:rPr>
          <w:rFonts w:cstheme="minorHAnsi"/>
        </w:rPr>
        <w:t>igs’</w:t>
      </w:r>
      <w:r w:rsidR="006C567E" w:rsidRPr="00B67AAE">
        <w:rPr>
          <w:rFonts w:cstheme="minorHAnsi"/>
        </w:rPr>
        <w:t xml:space="preserve"> </w:t>
      </w:r>
      <w:r w:rsidR="000D360B" w:rsidRPr="00B67AAE">
        <w:rPr>
          <w:rFonts w:cstheme="minorHAnsi"/>
        </w:rPr>
        <w:t>was also cited as a reason at multiple prisons</w:t>
      </w:r>
      <w:r w:rsidR="001833FF" w:rsidRPr="00B67AAE">
        <w:rPr>
          <w:rFonts w:cstheme="minorHAnsi"/>
        </w:rPr>
        <w:t xml:space="preserve">, which could be linked to the history of racism </w:t>
      </w:r>
      <w:r w:rsidR="005E13F0" w:rsidRPr="00B67AAE">
        <w:rPr>
          <w:rFonts w:cstheme="minorHAnsi"/>
        </w:rPr>
        <w:t xml:space="preserve">in medicine and the </w:t>
      </w:r>
      <w:r w:rsidR="003C665D" w:rsidRPr="00B67AAE">
        <w:rPr>
          <w:rFonts w:cstheme="minorHAnsi"/>
        </w:rPr>
        <w:t>mortality rate discrepancies still prevalent to this day</w:t>
      </w:r>
      <w:r w:rsidR="000D360B" w:rsidRPr="00B67AAE">
        <w:rPr>
          <w:rFonts w:cstheme="minorHAnsi"/>
        </w:rPr>
        <w:t xml:space="preserve">. </w:t>
      </w:r>
      <w:r w:rsidR="00BC111E" w:rsidRPr="00B67AAE">
        <w:rPr>
          <w:rFonts w:cstheme="minorHAnsi"/>
        </w:rPr>
        <w:t xml:space="preserve">For </w:t>
      </w:r>
      <w:r w:rsidR="00E65CA6" w:rsidRPr="00B67AAE">
        <w:rPr>
          <w:rFonts w:cstheme="minorHAnsi"/>
        </w:rPr>
        <w:t>instance,</w:t>
      </w:r>
      <w:r w:rsidR="00BC111E" w:rsidRPr="00B67AAE">
        <w:rPr>
          <w:rFonts w:cstheme="minorHAnsi"/>
        </w:rPr>
        <w:t xml:space="preserve"> </w:t>
      </w:r>
      <w:r w:rsidR="00A31AC9" w:rsidRPr="00B67AAE">
        <w:rPr>
          <w:rFonts w:cstheme="minorHAnsi"/>
        </w:rPr>
        <w:t>a recent</w:t>
      </w:r>
      <w:r w:rsidR="00BC111E" w:rsidRPr="00B67AAE">
        <w:rPr>
          <w:rFonts w:cstheme="minorHAnsi"/>
        </w:rPr>
        <w:t xml:space="preserve"> report from MBRRACE-UK </w:t>
      </w:r>
      <w:r w:rsidR="00CE3465" w:rsidRPr="00B67AAE">
        <w:rPr>
          <w:rFonts w:cstheme="minorHAnsi"/>
        </w:rPr>
        <w:t>highlights</w:t>
      </w:r>
      <w:r w:rsidR="00BC111E" w:rsidRPr="00B67AAE">
        <w:rPr>
          <w:rFonts w:cstheme="minorHAnsi"/>
        </w:rPr>
        <w:t xml:space="preserve"> that Black women are </w:t>
      </w:r>
      <w:r w:rsidR="00CE3465" w:rsidRPr="00B67AAE">
        <w:rPr>
          <w:rFonts w:cstheme="minorHAnsi"/>
        </w:rPr>
        <w:t>four</w:t>
      </w:r>
      <w:r w:rsidR="00BC111E" w:rsidRPr="00B67AAE">
        <w:rPr>
          <w:rFonts w:cstheme="minorHAnsi"/>
        </w:rPr>
        <w:t xml:space="preserve"> times more likely than </w:t>
      </w:r>
      <w:r w:rsidR="00BA0553">
        <w:rPr>
          <w:rFonts w:cstheme="minorHAnsi"/>
        </w:rPr>
        <w:t>W</w:t>
      </w:r>
      <w:r w:rsidR="00BC111E" w:rsidRPr="00B67AAE">
        <w:rPr>
          <w:rFonts w:cstheme="minorHAnsi"/>
        </w:rPr>
        <w:t>hite women to die in pregnancy or childbirth.</w:t>
      </w:r>
      <w:r w:rsidR="00A31AC9" w:rsidRPr="00B67AAE">
        <w:rPr>
          <w:rFonts w:cstheme="minorHAnsi"/>
        </w:rPr>
        <w:t xml:space="preserve"> In a report published on 26</w:t>
      </w:r>
      <w:r w:rsidR="00A31AC9" w:rsidRPr="00B67AAE">
        <w:rPr>
          <w:rFonts w:cstheme="minorHAnsi"/>
          <w:vertAlign w:val="superscript"/>
        </w:rPr>
        <w:t>th</w:t>
      </w:r>
      <w:r w:rsidR="00A31AC9" w:rsidRPr="00B67AAE">
        <w:rPr>
          <w:rFonts w:cstheme="minorHAnsi"/>
        </w:rPr>
        <w:t xml:space="preserve"> February 2021 by the government, data drawn from ONS, NHS England and academic research also demonstrated that during the first wave of COVID-19, Black African men were </w:t>
      </w:r>
      <w:r w:rsidR="00CE3465" w:rsidRPr="00B67AAE">
        <w:rPr>
          <w:rFonts w:cstheme="minorHAnsi"/>
        </w:rPr>
        <w:t xml:space="preserve">almost at three </w:t>
      </w:r>
      <w:r w:rsidR="00A31AC9" w:rsidRPr="00B67AAE">
        <w:rPr>
          <w:rFonts w:cstheme="minorHAnsi"/>
        </w:rPr>
        <w:t xml:space="preserve">times greater risk of dying than </w:t>
      </w:r>
      <w:r w:rsidR="00BA0553">
        <w:rPr>
          <w:rFonts w:cstheme="minorHAnsi"/>
        </w:rPr>
        <w:t>W</w:t>
      </w:r>
      <w:r w:rsidR="00A31AC9" w:rsidRPr="00B67AAE">
        <w:rPr>
          <w:rFonts w:cstheme="minorHAnsi"/>
        </w:rPr>
        <w:t>hite men of the same age.</w:t>
      </w:r>
    </w:p>
    <w:p w14:paraId="2D66011B" w14:textId="30B50D40" w:rsidR="00383F53" w:rsidRDefault="00BA0553" w:rsidP="00DE703D">
      <w:pPr>
        <w:pStyle w:val="ListParagraph"/>
        <w:numPr>
          <w:ilvl w:val="0"/>
          <w:numId w:val="8"/>
        </w:numPr>
        <w:ind w:left="284" w:hanging="284"/>
        <w:rPr>
          <w:rFonts w:cstheme="minorHAnsi"/>
        </w:rPr>
      </w:pPr>
      <w:r>
        <w:rPr>
          <w:rFonts w:cstheme="minorHAnsi"/>
        </w:rPr>
        <w:t>Prisoners at HMP/YOI Isis</w:t>
      </w:r>
      <w:r w:rsidR="00A72C1D" w:rsidRPr="00B67AAE">
        <w:rPr>
          <w:rFonts w:cstheme="minorHAnsi"/>
        </w:rPr>
        <w:t xml:space="preserve"> stated </w:t>
      </w:r>
      <w:r w:rsidR="00B015CE" w:rsidRPr="00B67AAE">
        <w:rPr>
          <w:rFonts w:cstheme="minorHAnsi"/>
        </w:rPr>
        <w:t>they felt safe in prison</w:t>
      </w:r>
      <w:r w:rsidR="00CE3465" w:rsidRPr="00B67AAE">
        <w:rPr>
          <w:rFonts w:cstheme="minorHAnsi"/>
        </w:rPr>
        <w:t>,</w:t>
      </w:r>
      <w:r w:rsidR="00B015CE" w:rsidRPr="00B67AAE">
        <w:rPr>
          <w:rFonts w:cstheme="minorHAnsi"/>
        </w:rPr>
        <w:t xml:space="preserve"> </w:t>
      </w:r>
      <w:r w:rsidR="00C95D86" w:rsidRPr="00B67AAE">
        <w:rPr>
          <w:rFonts w:cstheme="minorHAnsi"/>
        </w:rPr>
        <w:t>citing R</w:t>
      </w:r>
      <w:r w:rsidR="003C22FC" w:rsidRPr="00B67AAE">
        <w:rPr>
          <w:rFonts w:cstheme="minorHAnsi"/>
        </w:rPr>
        <w:t xml:space="preserve">everse </w:t>
      </w:r>
      <w:r w:rsidR="00C95D86" w:rsidRPr="00B67AAE">
        <w:rPr>
          <w:rFonts w:cstheme="minorHAnsi"/>
        </w:rPr>
        <w:t>C</w:t>
      </w:r>
      <w:r w:rsidR="003C22FC" w:rsidRPr="00B67AAE">
        <w:rPr>
          <w:rFonts w:cstheme="minorHAnsi"/>
        </w:rPr>
        <w:t xml:space="preserve">ohorting </w:t>
      </w:r>
      <w:r w:rsidR="00C95D86" w:rsidRPr="00B67AAE">
        <w:rPr>
          <w:rFonts w:cstheme="minorHAnsi"/>
        </w:rPr>
        <w:t>U</w:t>
      </w:r>
      <w:r w:rsidR="003C22FC" w:rsidRPr="00B67AAE">
        <w:rPr>
          <w:rFonts w:cstheme="minorHAnsi"/>
        </w:rPr>
        <w:t>nits (RCU)</w:t>
      </w:r>
      <w:r w:rsidR="00C95D86" w:rsidRPr="00B67AAE">
        <w:rPr>
          <w:rFonts w:cstheme="minorHAnsi"/>
        </w:rPr>
        <w:t>s, testing</w:t>
      </w:r>
      <w:r w:rsidR="003C22FC" w:rsidRPr="00B67AAE">
        <w:rPr>
          <w:rFonts w:cstheme="minorHAnsi"/>
        </w:rPr>
        <w:t>,</w:t>
      </w:r>
      <w:r w:rsidR="00C95D86" w:rsidRPr="00B67AAE">
        <w:rPr>
          <w:rFonts w:cstheme="minorHAnsi"/>
        </w:rPr>
        <w:t xml:space="preserve"> and regime restrictions</w:t>
      </w:r>
      <w:r w:rsidR="0059358D" w:rsidRPr="00B67AAE">
        <w:rPr>
          <w:rFonts w:cstheme="minorHAnsi"/>
        </w:rPr>
        <w:t xml:space="preserve"> as</w:t>
      </w:r>
      <w:r w:rsidR="00C95D86" w:rsidRPr="00B67AAE">
        <w:rPr>
          <w:rFonts w:cstheme="minorHAnsi"/>
        </w:rPr>
        <w:t xml:space="preserve"> sufficient</w:t>
      </w:r>
      <w:r w:rsidR="003C22FC" w:rsidRPr="00B67AAE">
        <w:rPr>
          <w:rFonts w:cstheme="minorHAnsi"/>
        </w:rPr>
        <w:t xml:space="preserve">. This resulted in reduced </w:t>
      </w:r>
      <w:r w:rsidR="00C95D86" w:rsidRPr="00B67AAE">
        <w:rPr>
          <w:rFonts w:cstheme="minorHAnsi"/>
        </w:rPr>
        <w:t>fear</w:t>
      </w:r>
      <w:r w:rsidR="003C22FC" w:rsidRPr="00B67AAE">
        <w:rPr>
          <w:rFonts w:cstheme="minorHAnsi"/>
        </w:rPr>
        <w:t xml:space="preserve"> that</w:t>
      </w:r>
      <w:r w:rsidR="00C95D86" w:rsidRPr="00B67AAE">
        <w:rPr>
          <w:rFonts w:cstheme="minorHAnsi"/>
        </w:rPr>
        <w:t xml:space="preserve"> the virus w</w:t>
      </w:r>
      <w:r w:rsidR="00CE3465" w:rsidRPr="00B67AAE">
        <w:rPr>
          <w:rFonts w:cstheme="minorHAnsi"/>
        </w:rPr>
        <w:t>ould</w:t>
      </w:r>
      <w:r w:rsidR="00C95D86" w:rsidRPr="00B67AAE">
        <w:rPr>
          <w:rFonts w:cstheme="minorHAnsi"/>
        </w:rPr>
        <w:t xml:space="preserve"> either reach them or impact them significantly enough to require the vaccine.</w:t>
      </w:r>
    </w:p>
    <w:p w14:paraId="2BF80542" w14:textId="77777777" w:rsidR="00DE703D" w:rsidRPr="00B67AAE" w:rsidRDefault="00DE703D" w:rsidP="00DE703D">
      <w:pPr>
        <w:pStyle w:val="ListParagraph"/>
        <w:ind w:left="0"/>
        <w:rPr>
          <w:rFonts w:cstheme="minorHAnsi"/>
        </w:rPr>
      </w:pPr>
    </w:p>
    <w:p w14:paraId="3BCAF398" w14:textId="5CE60CBD" w:rsidR="00AD436B" w:rsidRPr="00DE703D" w:rsidRDefault="00D0461F" w:rsidP="00DE703D">
      <w:pPr>
        <w:pStyle w:val="ListParagraph"/>
        <w:numPr>
          <w:ilvl w:val="1"/>
          <w:numId w:val="32"/>
        </w:numPr>
        <w:ind w:left="0"/>
        <w:rPr>
          <w:rFonts w:cstheme="minorHAnsi"/>
        </w:rPr>
      </w:pPr>
      <w:r w:rsidRPr="00DE703D">
        <w:rPr>
          <w:rFonts w:cstheme="minorHAnsi"/>
        </w:rPr>
        <w:t>When an</w:t>
      </w:r>
      <w:r w:rsidR="00903B56" w:rsidRPr="00DE703D">
        <w:rPr>
          <w:rFonts w:cstheme="minorHAnsi"/>
        </w:rPr>
        <w:t>a</w:t>
      </w:r>
      <w:r w:rsidRPr="00DE703D">
        <w:rPr>
          <w:rFonts w:cstheme="minorHAnsi"/>
        </w:rPr>
        <w:t>l</w:t>
      </w:r>
      <w:r w:rsidR="00903B56" w:rsidRPr="00DE703D">
        <w:rPr>
          <w:rFonts w:cstheme="minorHAnsi"/>
        </w:rPr>
        <w:t>y</w:t>
      </w:r>
      <w:r w:rsidRPr="00DE703D">
        <w:rPr>
          <w:rFonts w:cstheme="minorHAnsi"/>
        </w:rPr>
        <w:t>s</w:t>
      </w:r>
      <w:r w:rsidR="001C62DF">
        <w:rPr>
          <w:rFonts w:cstheme="minorHAnsi"/>
        </w:rPr>
        <w:t>ing</w:t>
      </w:r>
      <w:r w:rsidRPr="00DE703D">
        <w:rPr>
          <w:rFonts w:cstheme="minorHAnsi"/>
        </w:rPr>
        <w:t xml:space="preserve"> the reverse of </w:t>
      </w:r>
      <w:r w:rsidR="00E128C2" w:rsidRPr="00DE703D">
        <w:rPr>
          <w:rFonts w:cstheme="minorHAnsi"/>
        </w:rPr>
        <w:t>this,</w:t>
      </w:r>
      <w:r w:rsidRPr="00DE703D">
        <w:rPr>
          <w:rFonts w:cstheme="minorHAnsi"/>
        </w:rPr>
        <w:t xml:space="preserve"> </w:t>
      </w:r>
      <w:r w:rsidR="003E0EF0" w:rsidRPr="00DE703D">
        <w:rPr>
          <w:rFonts w:cstheme="minorHAnsi"/>
        </w:rPr>
        <w:t>prisons</w:t>
      </w:r>
      <w:r w:rsidR="00AF0799" w:rsidRPr="00DE703D">
        <w:rPr>
          <w:rFonts w:cstheme="minorHAnsi"/>
        </w:rPr>
        <w:t xml:space="preserve"> with the highest </w:t>
      </w:r>
      <w:r w:rsidR="003E0EF0" w:rsidRPr="00DE703D">
        <w:rPr>
          <w:rFonts w:cstheme="minorHAnsi"/>
        </w:rPr>
        <w:t>proportion</w:t>
      </w:r>
      <w:r w:rsidR="00AF0799" w:rsidRPr="00DE703D">
        <w:rPr>
          <w:rFonts w:cstheme="minorHAnsi"/>
        </w:rPr>
        <w:t xml:space="preserve"> of </w:t>
      </w:r>
      <w:r w:rsidR="003E0EF0" w:rsidRPr="00DE703D">
        <w:rPr>
          <w:rFonts w:cstheme="minorHAnsi"/>
        </w:rPr>
        <w:t xml:space="preserve">white prisoners </w:t>
      </w:r>
      <w:r w:rsidR="004E45AE" w:rsidRPr="00DE703D">
        <w:rPr>
          <w:rFonts w:cstheme="minorHAnsi"/>
        </w:rPr>
        <w:t xml:space="preserve">tend to </w:t>
      </w:r>
      <w:r w:rsidR="000B474A" w:rsidRPr="00DE703D">
        <w:rPr>
          <w:rFonts w:cstheme="minorHAnsi"/>
        </w:rPr>
        <w:t>correlate with</w:t>
      </w:r>
      <w:r w:rsidR="004E45AE" w:rsidRPr="00DE703D">
        <w:rPr>
          <w:rFonts w:cstheme="minorHAnsi"/>
        </w:rPr>
        <w:t xml:space="preserve"> the</w:t>
      </w:r>
      <w:r w:rsidR="00C95D86" w:rsidRPr="00DE703D">
        <w:rPr>
          <w:rFonts w:cstheme="minorHAnsi"/>
        </w:rPr>
        <w:t xml:space="preserve"> highest</w:t>
      </w:r>
      <w:r w:rsidR="004E45AE" w:rsidRPr="00DE703D">
        <w:rPr>
          <w:rFonts w:cstheme="minorHAnsi"/>
        </w:rPr>
        <w:t xml:space="preserve"> vaccine uptake </w:t>
      </w:r>
      <w:r w:rsidR="00156A8D" w:rsidRPr="00DE703D">
        <w:rPr>
          <w:rFonts w:cstheme="minorHAnsi"/>
        </w:rPr>
        <w:t>rates</w:t>
      </w:r>
      <w:r w:rsidR="004E45AE" w:rsidRPr="00DE703D">
        <w:rPr>
          <w:rFonts w:cstheme="minorHAnsi"/>
        </w:rPr>
        <w:t xml:space="preserve">. </w:t>
      </w:r>
      <w:r w:rsidR="00305CF9" w:rsidRPr="00DE703D">
        <w:rPr>
          <w:rFonts w:cstheme="minorHAnsi"/>
        </w:rPr>
        <w:t>Two</w:t>
      </w:r>
      <w:r w:rsidR="004E45AE" w:rsidRPr="00DE703D">
        <w:rPr>
          <w:rFonts w:cstheme="minorHAnsi"/>
        </w:rPr>
        <w:t xml:space="preserve"> of the top</w:t>
      </w:r>
      <w:r w:rsidR="00AE27CA" w:rsidRPr="00DE703D">
        <w:rPr>
          <w:rFonts w:cstheme="minorHAnsi"/>
        </w:rPr>
        <w:t xml:space="preserve"> </w:t>
      </w:r>
      <w:r w:rsidR="00156A8D" w:rsidRPr="00DE703D">
        <w:rPr>
          <w:rFonts w:cstheme="minorHAnsi"/>
        </w:rPr>
        <w:t>t</w:t>
      </w:r>
      <w:r w:rsidR="00305CF9" w:rsidRPr="00DE703D">
        <w:rPr>
          <w:rFonts w:cstheme="minorHAnsi"/>
        </w:rPr>
        <w:t>en</w:t>
      </w:r>
      <w:r w:rsidR="00AE27CA" w:rsidRPr="00DE703D">
        <w:rPr>
          <w:rFonts w:cstheme="minorHAnsi"/>
        </w:rPr>
        <w:t xml:space="preserve"> prisons with the</w:t>
      </w:r>
      <w:r w:rsidR="004F761F" w:rsidRPr="00DE703D">
        <w:rPr>
          <w:rFonts w:cstheme="minorHAnsi"/>
        </w:rPr>
        <w:t xml:space="preserve"> </w:t>
      </w:r>
      <w:r w:rsidR="002B39C5" w:rsidRPr="00DE703D">
        <w:rPr>
          <w:rFonts w:cstheme="minorHAnsi"/>
        </w:rPr>
        <w:t xml:space="preserve">highest </w:t>
      </w:r>
      <w:r w:rsidR="00AE27CA" w:rsidRPr="00DE703D">
        <w:rPr>
          <w:rFonts w:cstheme="minorHAnsi"/>
        </w:rPr>
        <w:t xml:space="preserve">white population appear on our list of high uptake </w:t>
      </w:r>
      <w:r w:rsidR="00CE3465" w:rsidRPr="00DE703D">
        <w:rPr>
          <w:rFonts w:cstheme="minorHAnsi"/>
        </w:rPr>
        <w:t>sites:</w:t>
      </w:r>
      <w:r w:rsidR="004E4EAD" w:rsidRPr="00DE703D">
        <w:rPr>
          <w:rFonts w:cstheme="minorHAnsi"/>
        </w:rPr>
        <w:t xml:space="preserve"> </w:t>
      </w:r>
      <w:r w:rsidR="009E2E6A">
        <w:rPr>
          <w:rFonts w:cstheme="minorHAnsi"/>
        </w:rPr>
        <w:t xml:space="preserve">HMP </w:t>
      </w:r>
      <w:r w:rsidR="004E4EAD" w:rsidRPr="00DE703D">
        <w:rPr>
          <w:rFonts w:cstheme="minorHAnsi"/>
        </w:rPr>
        <w:t xml:space="preserve">Styal and </w:t>
      </w:r>
      <w:r w:rsidR="009E2E6A">
        <w:rPr>
          <w:rFonts w:cstheme="minorHAnsi"/>
        </w:rPr>
        <w:t xml:space="preserve">HMP </w:t>
      </w:r>
      <w:r w:rsidR="00611182" w:rsidRPr="00DE703D">
        <w:rPr>
          <w:rFonts w:cstheme="minorHAnsi"/>
        </w:rPr>
        <w:t>Humber</w:t>
      </w:r>
      <w:r w:rsidR="00E65CA6" w:rsidRPr="00DE703D">
        <w:rPr>
          <w:rFonts w:cstheme="minorHAnsi"/>
        </w:rPr>
        <w:t>.</w:t>
      </w:r>
      <w:r w:rsidR="00073F75" w:rsidRPr="00DE703D">
        <w:rPr>
          <w:rFonts w:cstheme="minorHAnsi"/>
        </w:rPr>
        <w:t xml:space="preserve"> </w:t>
      </w:r>
      <w:r w:rsidR="0032639E" w:rsidRPr="00DE703D">
        <w:rPr>
          <w:rFonts w:cstheme="minorHAnsi"/>
        </w:rPr>
        <w:t xml:space="preserve">The below </w:t>
      </w:r>
      <w:r w:rsidR="004321A6" w:rsidRPr="00DE703D">
        <w:rPr>
          <w:rFonts w:cstheme="minorHAnsi"/>
        </w:rPr>
        <w:t>graph represent</w:t>
      </w:r>
      <w:r w:rsidR="00243716" w:rsidRPr="00DE703D">
        <w:rPr>
          <w:rFonts w:cstheme="minorHAnsi"/>
        </w:rPr>
        <w:t>s</w:t>
      </w:r>
      <w:r w:rsidR="004321A6" w:rsidRPr="00DE703D">
        <w:rPr>
          <w:rFonts w:cstheme="minorHAnsi"/>
        </w:rPr>
        <w:t xml:space="preserve"> </w:t>
      </w:r>
      <w:r w:rsidR="0003640A" w:rsidRPr="00DE703D">
        <w:rPr>
          <w:rFonts w:cstheme="minorHAnsi"/>
        </w:rPr>
        <w:t>vaccine</w:t>
      </w:r>
      <w:r w:rsidR="004321A6" w:rsidRPr="00DE703D">
        <w:rPr>
          <w:rFonts w:cstheme="minorHAnsi"/>
        </w:rPr>
        <w:t xml:space="preserve"> decline </w:t>
      </w:r>
      <w:r w:rsidR="00C87E49" w:rsidRPr="00DE703D">
        <w:rPr>
          <w:rFonts w:cstheme="minorHAnsi"/>
        </w:rPr>
        <w:t xml:space="preserve">rates </w:t>
      </w:r>
      <w:r w:rsidR="004321A6" w:rsidRPr="00DE703D">
        <w:rPr>
          <w:rFonts w:cstheme="minorHAnsi"/>
        </w:rPr>
        <w:t xml:space="preserve">by ethnicity both in the community and </w:t>
      </w:r>
      <w:r w:rsidR="00961965" w:rsidRPr="00DE703D">
        <w:rPr>
          <w:rFonts w:cstheme="minorHAnsi"/>
        </w:rPr>
        <w:t>custody</w:t>
      </w:r>
      <w:r w:rsidR="00E65CA6" w:rsidRPr="00DE703D">
        <w:rPr>
          <w:rFonts w:cstheme="minorHAnsi"/>
        </w:rPr>
        <w:t xml:space="preserve">, </w:t>
      </w:r>
      <w:r w:rsidR="00CE3465" w:rsidRPr="00DE703D">
        <w:rPr>
          <w:rFonts w:cstheme="minorHAnsi"/>
        </w:rPr>
        <w:t>with trends broadly mirror</w:t>
      </w:r>
      <w:r w:rsidR="009E2E6A">
        <w:rPr>
          <w:rFonts w:cstheme="minorHAnsi"/>
        </w:rPr>
        <w:t>ed</w:t>
      </w:r>
      <w:r w:rsidR="00CE3465" w:rsidRPr="00DE703D">
        <w:rPr>
          <w:rFonts w:cstheme="minorHAnsi"/>
        </w:rPr>
        <w:t xml:space="preserve"> across both settings</w:t>
      </w:r>
      <w:r w:rsidR="00E65CA6" w:rsidRPr="00DE703D">
        <w:rPr>
          <w:rFonts w:cstheme="minorHAnsi"/>
        </w:rPr>
        <w:t>.</w:t>
      </w:r>
    </w:p>
    <w:p w14:paraId="59857032" w14:textId="77777777" w:rsidR="00DE703D" w:rsidRPr="00DE703D" w:rsidRDefault="00DE703D" w:rsidP="00DE703D">
      <w:pPr>
        <w:pStyle w:val="ListParagraph"/>
        <w:rPr>
          <w:rFonts w:cstheme="minorHAnsi"/>
        </w:rPr>
      </w:pPr>
    </w:p>
    <w:p w14:paraId="20FFAA0B" w14:textId="4A87F788" w:rsidR="00823B66" w:rsidRDefault="00823B66" w:rsidP="00212AF8">
      <w:pPr>
        <w:rPr>
          <w:rFonts w:cstheme="minorHAnsi"/>
          <w:bCs/>
          <w:sz w:val="20"/>
          <w:szCs w:val="20"/>
        </w:rPr>
      </w:pPr>
      <w:r w:rsidRPr="00823B66">
        <w:rPr>
          <w:rFonts w:cstheme="minorHAnsi"/>
          <w:bCs/>
          <w:noProof/>
          <w:sz w:val="20"/>
          <w:szCs w:val="20"/>
        </w:rPr>
        <w:lastRenderedPageBreak/>
        <w:drawing>
          <wp:inline distT="0" distB="0" distL="0" distR="0" wp14:anchorId="5D3009F3" wp14:editId="1CA48388">
            <wp:extent cx="5731510" cy="3620770"/>
            <wp:effectExtent l="0" t="0" r="2540" b="17780"/>
            <wp:docPr id="1" name="Chart 1">
              <a:extLst xmlns:a="http://schemas.openxmlformats.org/drawingml/2006/main">
                <a:ext uri="{FF2B5EF4-FFF2-40B4-BE49-F238E27FC236}">
                  <a16:creationId xmlns:a16="http://schemas.microsoft.com/office/drawing/2014/main" id="{C10C0DE4-2815-4B02-92C7-CEE01D916A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E17351" w14:textId="77777777" w:rsidR="00823B66" w:rsidRDefault="00823B66" w:rsidP="00455753">
      <w:pPr>
        <w:rPr>
          <w:rFonts w:cstheme="minorHAnsi"/>
          <w:bCs/>
          <w:sz w:val="20"/>
          <w:szCs w:val="20"/>
        </w:rPr>
      </w:pPr>
    </w:p>
    <w:p w14:paraId="08962A79" w14:textId="73A9ADAA" w:rsidR="00E65CA6" w:rsidRDefault="00E65CA6" w:rsidP="00DE703D">
      <w:pPr>
        <w:pStyle w:val="ListParagraph"/>
        <w:numPr>
          <w:ilvl w:val="1"/>
          <w:numId w:val="32"/>
        </w:numPr>
        <w:ind w:left="0"/>
        <w:rPr>
          <w:rFonts w:cstheme="minorHAnsi"/>
        </w:rPr>
      </w:pPr>
      <w:r w:rsidRPr="00DE703D">
        <w:rPr>
          <w:rFonts w:cstheme="minorHAnsi"/>
        </w:rPr>
        <w:t xml:space="preserve">Vaccine hesitancy in the community among </w:t>
      </w:r>
      <w:r w:rsidR="001C62DF">
        <w:rPr>
          <w:rFonts w:cstheme="minorHAnsi"/>
        </w:rPr>
        <w:t>Back or Black</w:t>
      </w:r>
      <w:r w:rsidRPr="00DE703D">
        <w:rPr>
          <w:rFonts w:cstheme="minorHAnsi"/>
        </w:rPr>
        <w:t xml:space="preserve"> British people is at </w:t>
      </w:r>
      <w:r w:rsidR="001C62DF">
        <w:rPr>
          <w:rFonts w:cstheme="minorHAnsi"/>
        </w:rPr>
        <w:t>30</w:t>
      </w:r>
      <w:r w:rsidRPr="00DE703D">
        <w:rPr>
          <w:rFonts w:cstheme="minorHAnsi"/>
        </w:rPr>
        <w:t xml:space="preserve">%, whereas </w:t>
      </w:r>
      <w:r w:rsidR="001C62DF">
        <w:rPr>
          <w:rFonts w:cstheme="minorHAnsi"/>
        </w:rPr>
        <w:t>White</w:t>
      </w:r>
      <w:r w:rsidRPr="00DE703D">
        <w:rPr>
          <w:rFonts w:cstheme="minorHAnsi"/>
        </w:rPr>
        <w:t xml:space="preserve"> British hesitancy is at </w:t>
      </w:r>
      <w:r w:rsidR="001C62DF">
        <w:rPr>
          <w:rFonts w:cstheme="minorHAnsi"/>
        </w:rPr>
        <w:t>6</w:t>
      </w:r>
      <w:r w:rsidRPr="00DE703D">
        <w:rPr>
          <w:rFonts w:cstheme="minorHAnsi"/>
        </w:rPr>
        <w:t xml:space="preserve">%. This is intensified in prisons, with an average 47% decline rate for Black </w:t>
      </w:r>
      <w:r w:rsidR="00391FCB" w:rsidRPr="00DE703D">
        <w:rPr>
          <w:rFonts w:cstheme="minorHAnsi"/>
        </w:rPr>
        <w:t>or</w:t>
      </w:r>
      <w:r w:rsidRPr="00DE703D">
        <w:rPr>
          <w:rFonts w:cstheme="minorHAnsi"/>
        </w:rPr>
        <w:t xml:space="preserve"> Black British</w:t>
      </w:r>
      <w:r w:rsidR="00391FCB" w:rsidRPr="00DE703D">
        <w:rPr>
          <w:rFonts w:cstheme="minorHAnsi"/>
        </w:rPr>
        <w:t xml:space="preserve"> people</w:t>
      </w:r>
      <w:r w:rsidRPr="00DE703D">
        <w:rPr>
          <w:rFonts w:cstheme="minorHAnsi"/>
        </w:rPr>
        <w:t>. This figure drop</w:t>
      </w:r>
      <w:r w:rsidR="00391FCB" w:rsidRPr="00DE703D">
        <w:rPr>
          <w:rFonts w:cstheme="minorHAnsi"/>
        </w:rPr>
        <w:t>s</w:t>
      </w:r>
      <w:r w:rsidRPr="00DE703D">
        <w:rPr>
          <w:rFonts w:cstheme="minorHAnsi"/>
        </w:rPr>
        <w:t xml:space="preserve"> to 17% for White British</w:t>
      </w:r>
      <w:r w:rsidR="00232C7C" w:rsidRPr="00DE703D">
        <w:rPr>
          <w:rFonts w:cstheme="minorHAnsi"/>
        </w:rPr>
        <w:t xml:space="preserve"> people in prison</w:t>
      </w:r>
      <w:r w:rsidR="00CE3465" w:rsidRPr="00DE703D">
        <w:rPr>
          <w:rFonts w:cstheme="minorHAnsi"/>
        </w:rPr>
        <w:t xml:space="preserve">, </w:t>
      </w:r>
      <w:r w:rsidR="001C62DF">
        <w:rPr>
          <w:rFonts w:cstheme="minorHAnsi"/>
        </w:rPr>
        <w:t xml:space="preserve">although </w:t>
      </w:r>
      <w:r w:rsidR="00CE3465" w:rsidRPr="00DE703D">
        <w:rPr>
          <w:rFonts w:cstheme="minorHAnsi"/>
        </w:rPr>
        <w:t>this</w:t>
      </w:r>
      <w:r w:rsidRPr="00DE703D">
        <w:rPr>
          <w:rFonts w:cstheme="minorHAnsi"/>
        </w:rPr>
        <w:t xml:space="preserve"> is still considerably higher than the community decline rat</w:t>
      </w:r>
      <w:r w:rsidR="004C1F58" w:rsidRPr="00DE703D">
        <w:rPr>
          <w:rFonts w:cstheme="minorHAnsi"/>
        </w:rPr>
        <w:t>e.</w:t>
      </w:r>
    </w:p>
    <w:p w14:paraId="69981811" w14:textId="77777777" w:rsidR="00DE703D" w:rsidRPr="00DE703D" w:rsidRDefault="00DE703D" w:rsidP="00DE703D">
      <w:pPr>
        <w:pStyle w:val="ListParagraph"/>
        <w:ind w:left="0"/>
        <w:rPr>
          <w:rFonts w:cstheme="minorHAnsi"/>
        </w:rPr>
      </w:pPr>
    </w:p>
    <w:p w14:paraId="6DC5704B" w14:textId="1C91BC9C" w:rsidR="00DE703D" w:rsidRPr="00DE703D" w:rsidRDefault="00F25ED3" w:rsidP="00DE703D">
      <w:pPr>
        <w:pStyle w:val="ListParagraph"/>
        <w:numPr>
          <w:ilvl w:val="1"/>
          <w:numId w:val="32"/>
        </w:numPr>
        <w:ind w:left="0"/>
        <w:rPr>
          <w:rFonts w:cstheme="minorHAnsi"/>
        </w:rPr>
      </w:pPr>
      <w:r w:rsidRPr="00DE703D">
        <w:rPr>
          <w:rFonts w:cstheme="minorHAnsi"/>
        </w:rPr>
        <w:t xml:space="preserve">HMP Thameside is an outlier within our data, having the third highest BAME prisoner population across the prison estate but an 18% vaccine decline rate. This decline rate, whilst still high, is significantly lower than other prisons with high proportion BAME populations and is the lowest decline rate amongst the London prisons. When querying their local approach to glean any best practice, </w:t>
      </w:r>
      <w:r w:rsidR="009E2E6A">
        <w:rPr>
          <w:rFonts w:cstheme="minorHAnsi"/>
        </w:rPr>
        <w:t xml:space="preserve">HMP </w:t>
      </w:r>
      <w:r w:rsidRPr="00DE703D">
        <w:rPr>
          <w:rFonts w:cstheme="minorHAnsi"/>
        </w:rPr>
        <w:t xml:space="preserve">Thameside stated their vaccination rollout was a traditional programme, akin to flu vaccination clinics, and that they had perhaps been ‘lucky’ with their residents. However, it </w:t>
      </w:r>
      <w:r w:rsidRPr="00DE703D">
        <w:rPr>
          <w:rFonts w:cstheme="minorHAnsi"/>
          <w:color w:val="000000" w:themeColor="text1"/>
        </w:rPr>
        <w:t xml:space="preserve">is worth noting that 90% of Thameside Healthcare staff are BAME, which may have assisted in their relatively high uptake rate. Peer influence has been proven to positively effect vaccine uptake, as it feeds into the idea of social norms and may go some way to explain this trend at Thameside. </w:t>
      </w:r>
    </w:p>
    <w:p w14:paraId="58738655" w14:textId="77777777" w:rsidR="00DE703D" w:rsidRPr="00DE703D" w:rsidRDefault="00DE703D" w:rsidP="00DE703D">
      <w:pPr>
        <w:pStyle w:val="ListParagraph"/>
        <w:rPr>
          <w:rFonts w:cstheme="minorHAnsi"/>
        </w:rPr>
      </w:pPr>
    </w:p>
    <w:p w14:paraId="31898D4E" w14:textId="4939EB50" w:rsidR="00F25ED3" w:rsidRPr="00DE703D" w:rsidRDefault="00F25ED3" w:rsidP="00DE703D">
      <w:pPr>
        <w:pStyle w:val="ListParagraph"/>
        <w:numPr>
          <w:ilvl w:val="1"/>
          <w:numId w:val="32"/>
        </w:numPr>
        <w:ind w:left="0"/>
        <w:rPr>
          <w:rFonts w:cstheme="minorHAnsi"/>
        </w:rPr>
      </w:pPr>
      <w:r w:rsidRPr="00DE703D">
        <w:rPr>
          <w:rFonts w:cstheme="minorHAnsi"/>
          <w:color w:val="000000" w:themeColor="text1"/>
        </w:rPr>
        <w:t xml:space="preserve">Comparatively, the prison next door to Thameside, HMP Isis, have a high proportion of BAME prison officers, but a much higher decline rate at 53% – whilst their average prisoner age skews younger than Thameside’s and may be a contributing factor, we can infer that in order for peer influence to take effect it is </w:t>
      </w:r>
      <w:r w:rsidR="009E2E6A">
        <w:rPr>
          <w:rFonts w:cstheme="minorHAnsi"/>
          <w:color w:val="000000" w:themeColor="text1"/>
        </w:rPr>
        <w:t xml:space="preserve">not </w:t>
      </w:r>
      <w:r w:rsidRPr="00DE703D">
        <w:rPr>
          <w:rFonts w:cstheme="minorHAnsi"/>
          <w:color w:val="000000" w:themeColor="text1"/>
        </w:rPr>
        <w:t>simply enough to have similar ethnicity breakdowns for staff and prisoners, but that specific job roles and knowledge bases matter, especially when relating to an individual’s health.</w:t>
      </w:r>
    </w:p>
    <w:p w14:paraId="7DAFC29B" w14:textId="77777777" w:rsidR="00DE703D" w:rsidRDefault="00DE703D">
      <w:pPr>
        <w:rPr>
          <w:rFonts w:cstheme="minorHAnsi"/>
          <w:color w:val="000000" w:themeColor="text1"/>
          <w:sz w:val="32"/>
          <w:szCs w:val="32"/>
        </w:rPr>
      </w:pPr>
      <w:r>
        <w:rPr>
          <w:rFonts w:cstheme="minorHAnsi"/>
          <w:color w:val="000000" w:themeColor="text1"/>
          <w:sz w:val="32"/>
          <w:szCs w:val="32"/>
        </w:rPr>
        <w:br w:type="page"/>
      </w:r>
    </w:p>
    <w:p w14:paraId="645D44FF" w14:textId="4AD8E879" w:rsidR="0032018B" w:rsidRPr="00DE703D" w:rsidRDefault="004208E9" w:rsidP="00DE703D">
      <w:pPr>
        <w:pStyle w:val="ListParagraph"/>
        <w:numPr>
          <w:ilvl w:val="0"/>
          <w:numId w:val="32"/>
        </w:numPr>
        <w:ind w:left="0"/>
        <w:rPr>
          <w:rFonts w:cstheme="minorHAnsi"/>
          <w:b/>
          <w:bCs/>
          <w:color w:val="000000" w:themeColor="text1"/>
          <w:sz w:val="24"/>
          <w:szCs w:val="24"/>
          <w:u w:val="single"/>
          <w:shd w:val="clear" w:color="auto" w:fill="FFFFFF"/>
        </w:rPr>
      </w:pPr>
      <w:bookmarkStart w:id="5" w:name="Category"/>
      <w:r w:rsidRPr="00DE703D">
        <w:rPr>
          <w:rFonts w:cstheme="minorHAnsi"/>
          <w:b/>
          <w:bCs/>
          <w:color w:val="000000" w:themeColor="text1"/>
          <w:sz w:val="24"/>
          <w:szCs w:val="24"/>
          <w:u w:val="single"/>
        </w:rPr>
        <w:lastRenderedPageBreak/>
        <w:t>Prison Category/Function</w:t>
      </w:r>
    </w:p>
    <w:bookmarkEnd w:id="5"/>
    <w:p w14:paraId="6F3644F6" w14:textId="77777777" w:rsidR="00DE703D" w:rsidRDefault="00DE703D" w:rsidP="004208E9">
      <w:pPr>
        <w:rPr>
          <w:rFonts w:cstheme="minorHAnsi"/>
        </w:rPr>
      </w:pPr>
    </w:p>
    <w:p w14:paraId="275D348A" w14:textId="31DC2BB3" w:rsidR="00DE703D" w:rsidRPr="00DE703D" w:rsidRDefault="004208E9" w:rsidP="00DE703D">
      <w:pPr>
        <w:pStyle w:val="ListParagraph"/>
        <w:numPr>
          <w:ilvl w:val="1"/>
          <w:numId w:val="32"/>
        </w:numPr>
        <w:ind w:left="0"/>
        <w:rPr>
          <w:rFonts w:cstheme="minorHAnsi"/>
        </w:rPr>
      </w:pPr>
      <w:r w:rsidRPr="00DE703D">
        <w:rPr>
          <w:rFonts w:cstheme="minorHAnsi"/>
        </w:rPr>
        <w:t xml:space="preserve">The below table shows decline rates </w:t>
      </w:r>
      <w:r w:rsidR="00C96F79" w:rsidRPr="00DE703D">
        <w:rPr>
          <w:rFonts w:cstheme="minorHAnsi"/>
        </w:rPr>
        <w:t>from 26</w:t>
      </w:r>
      <w:r w:rsidR="00C96F79" w:rsidRPr="00DE703D">
        <w:rPr>
          <w:rFonts w:cstheme="minorHAnsi"/>
          <w:vertAlign w:val="superscript"/>
        </w:rPr>
        <w:t>th</w:t>
      </w:r>
      <w:r w:rsidR="00C96F79" w:rsidRPr="00DE703D">
        <w:rPr>
          <w:rFonts w:cstheme="minorHAnsi"/>
        </w:rPr>
        <w:t xml:space="preserve"> March to 15</w:t>
      </w:r>
      <w:r w:rsidR="00C96F79" w:rsidRPr="00DE703D">
        <w:rPr>
          <w:rFonts w:cstheme="minorHAnsi"/>
          <w:vertAlign w:val="superscript"/>
        </w:rPr>
        <w:t>th</w:t>
      </w:r>
      <w:r w:rsidR="00C96F79" w:rsidRPr="00DE703D">
        <w:rPr>
          <w:rFonts w:cstheme="minorHAnsi"/>
        </w:rPr>
        <w:t xml:space="preserve"> April</w:t>
      </w:r>
      <w:r w:rsidRPr="00DE703D">
        <w:rPr>
          <w:rFonts w:cstheme="minorHAnsi"/>
        </w:rPr>
        <w:t xml:space="preserve"> based on prison function.</w:t>
      </w:r>
    </w:p>
    <w:tbl>
      <w:tblPr>
        <w:tblStyle w:val="TableGrid"/>
        <w:tblpPr w:leftFromText="180" w:rightFromText="180" w:vertAnchor="text" w:horzAnchor="margin" w:tblpY="142"/>
        <w:tblW w:w="8963" w:type="dxa"/>
        <w:tblLook w:val="04A0" w:firstRow="1" w:lastRow="0" w:firstColumn="1" w:lastColumn="0" w:noHBand="0" w:noVBand="1"/>
      </w:tblPr>
      <w:tblGrid>
        <w:gridCol w:w="2754"/>
        <w:gridCol w:w="3105"/>
        <w:gridCol w:w="3104"/>
      </w:tblGrid>
      <w:tr w:rsidR="00B67AAE" w:rsidRPr="001225F2" w14:paraId="12E4C71A" w14:textId="77777777" w:rsidTr="00DE703D">
        <w:trPr>
          <w:trHeight w:val="263"/>
        </w:trPr>
        <w:tc>
          <w:tcPr>
            <w:tcW w:w="2754" w:type="dxa"/>
            <w:shd w:val="clear" w:color="auto" w:fill="7030A0"/>
          </w:tcPr>
          <w:p w14:paraId="45C8F075" w14:textId="77777777" w:rsidR="00B67AAE" w:rsidRPr="00DF748F" w:rsidRDefault="00B67AAE" w:rsidP="00DE703D">
            <w:pPr>
              <w:jc w:val="center"/>
              <w:rPr>
                <w:rFonts w:cstheme="minorHAnsi"/>
                <w:color w:val="FFFFFF" w:themeColor="background1"/>
                <w:sz w:val="24"/>
                <w:szCs w:val="24"/>
              </w:rPr>
            </w:pPr>
            <w:r w:rsidRPr="00DF748F">
              <w:rPr>
                <w:rFonts w:cstheme="minorHAnsi"/>
                <w:b/>
                <w:bCs/>
                <w:color w:val="FFFFFF" w:themeColor="background1"/>
                <w:sz w:val="24"/>
                <w:szCs w:val="24"/>
              </w:rPr>
              <w:t>Prison Function</w:t>
            </w:r>
          </w:p>
        </w:tc>
        <w:tc>
          <w:tcPr>
            <w:tcW w:w="3105" w:type="dxa"/>
            <w:shd w:val="clear" w:color="auto" w:fill="7030A0"/>
          </w:tcPr>
          <w:p w14:paraId="48BD8C59" w14:textId="77777777" w:rsidR="00B67AAE" w:rsidRPr="00DF748F" w:rsidRDefault="00B67AAE" w:rsidP="00DE703D">
            <w:pPr>
              <w:jc w:val="center"/>
              <w:rPr>
                <w:rFonts w:cstheme="minorHAnsi"/>
                <w:b/>
                <w:bCs/>
                <w:color w:val="FFFFFF" w:themeColor="background1"/>
                <w:sz w:val="24"/>
                <w:szCs w:val="24"/>
              </w:rPr>
            </w:pPr>
            <w:r w:rsidRPr="00DF748F">
              <w:rPr>
                <w:rFonts w:cstheme="minorHAnsi"/>
                <w:b/>
                <w:bCs/>
                <w:color w:val="FFFFFF" w:themeColor="background1"/>
                <w:sz w:val="24"/>
                <w:szCs w:val="24"/>
              </w:rPr>
              <w:t>Decline Rate</w:t>
            </w:r>
            <w:r>
              <w:rPr>
                <w:rFonts w:cstheme="minorHAnsi"/>
                <w:b/>
                <w:bCs/>
                <w:color w:val="FFFFFF" w:themeColor="background1"/>
                <w:sz w:val="24"/>
                <w:szCs w:val="24"/>
              </w:rPr>
              <w:t>s</w:t>
            </w:r>
            <w:r w:rsidRPr="00DF748F">
              <w:rPr>
                <w:rFonts w:cstheme="minorHAnsi"/>
                <w:b/>
                <w:bCs/>
                <w:color w:val="FFFFFF" w:themeColor="background1"/>
                <w:sz w:val="24"/>
                <w:szCs w:val="24"/>
              </w:rPr>
              <w:t xml:space="preserve"> 08.03.21</w:t>
            </w:r>
          </w:p>
          <w:p w14:paraId="2ABE15FD" w14:textId="77777777" w:rsidR="00B67AAE" w:rsidRPr="00DF748F" w:rsidDel="00126B4D" w:rsidRDefault="00B67AAE" w:rsidP="00DE703D">
            <w:pPr>
              <w:jc w:val="center"/>
              <w:rPr>
                <w:rStyle w:val="CommentReference"/>
                <w:color w:val="FFFFFF" w:themeColor="background1"/>
              </w:rPr>
            </w:pPr>
          </w:p>
        </w:tc>
        <w:tc>
          <w:tcPr>
            <w:tcW w:w="3104" w:type="dxa"/>
            <w:shd w:val="clear" w:color="auto" w:fill="7030A0"/>
          </w:tcPr>
          <w:p w14:paraId="595E54B7" w14:textId="77777777" w:rsidR="00B67AAE" w:rsidRPr="00DF748F" w:rsidDel="00126B4D" w:rsidRDefault="00B67AAE" w:rsidP="00DE703D">
            <w:pPr>
              <w:jc w:val="center"/>
              <w:rPr>
                <w:rStyle w:val="CommentReference"/>
                <w:color w:val="FFFFFF" w:themeColor="background1"/>
              </w:rPr>
            </w:pPr>
            <w:r w:rsidRPr="00DF748F">
              <w:rPr>
                <w:rFonts w:cstheme="minorHAnsi"/>
                <w:b/>
                <w:bCs/>
                <w:color w:val="FFFFFF" w:themeColor="background1"/>
                <w:sz w:val="24"/>
                <w:szCs w:val="24"/>
              </w:rPr>
              <w:t>Decline Rate</w:t>
            </w:r>
            <w:r>
              <w:rPr>
                <w:rFonts w:cstheme="minorHAnsi"/>
                <w:b/>
                <w:bCs/>
                <w:color w:val="FFFFFF" w:themeColor="background1"/>
                <w:sz w:val="24"/>
                <w:szCs w:val="24"/>
              </w:rPr>
              <w:t>s</w:t>
            </w:r>
            <w:r w:rsidRPr="00DF748F">
              <w:rPr>
                <w:rFonts w:cstheme="minorHAnsi"/>
                <w:b/>
                <w:bCs/>
                <w:color w:val="FFFFFF" w:themeColor="background1"/>
                <w:sz w:val="24"/>
                <w:szCs w:val="24"/>
              </w:rPr>
              <w:t xml:space="preserve"> 15.04.21</w:t>
            </w:r>
          </w:p>
        </w:tc>
      </w:tr>
      <w:tr w:rsidR="00B67AAE" w:rsidRPr="00B67AAE" w14:paraId="20C60C85" w14:textId="77777777" w:rsidTr="00DE703D">
        <w:trPr>
          <w:trHeight w:val="272"/>
        </w:trPr>
        <w:tc>
          <w:tcPr>
            <w:tcW w:w="2754" w:type="dxa"/>
          </w:tcPr>
          <w:p w14:paraId="6DB6E305" w14:textId="77777777" w:rsidR="00B67AAE" w:rsidRPr="00B67AAE" w:rsidRDefault="00B67AAE" w:rsidP="00DE703D">
            <w:pPr>
              <w:jc w:val="center"/>
              <w:rPr>
                <w:rFonts w:cstheme="minorHAnsi"/>
              </w:rPr>
            </w:pPr>
            <w:r w:rsidRPr="00B67AAE">
              <w:rPr>
                <w:rFonts w:cstheme="minorHAnsi"/>
              </w:rPr>
              <w:t>Female Closed</w:t>
            </w:r>
          </w:p>
        </w:tc>
        <w:tc>
          <w:tcPr>
            <w:tcW w:w="3105" w:type="dxa"/>
          </w:tcPr>
          <w:p w14:paraId="1C3027F6" w14:textId="77777777" w:rsidR="00B67AAE" w:rsidRPr="00B67AAE" w:rsidRDefault="00B67AAE" w:rsidP="00DE703D">
            <w:pPr>
              <w:jc w:val="center"/>
              <w:rPr>
                <w:rFonts w:cstheme="minorHAnsi"/>
              </w:rPr>
            </w:pPr>
            <w:r w:rsidRPr="00B67AAE">
              <w:rPr>
                <w:rFonts w:cstheme="minorHAnsi"/>
              </w:rPr>
              <w:t>6%</w:t>
            </w:r>
          </w:p>
        </w:tc>
        <w:tc>
          <w:tcPr>
            <w:tcW w:w="3104" w:type="dxa"/>
          </w:tcPr>
          <w:p w14:paraId="7E79C6A1" w14:textId="77777777" w:rsidR="00B67AAE" w:rsidRPr="00B67AAE" w:rsidRDefault="00B67AAE" w:rsidP="00DE703D">
            <w:pPr>
              <w:jc w:val="center"/>
              <w:rPr>
                <w:rFonts w:cstheme="minorHAnsi"/>
              </w:rPr>
            </w:pPr>
            <w:r w:rsidRPr="00B67AAE">
              <w:rPr>
                <w:rFonts w:cstheme="minorHAnsi"/>
              </w:rPr>
              <w:t>10%</w:t>
            </w:r>
          </w:p>
        </w:tc>
      </w:tr>
      <w:tr w:rsidR="00B67AAE" w:rsidRPr="00B67AAE" w14:paraId="1EEFBEE9" w14:textId="77777777" w:rsidTr="00DE703D">
        <w:trPr>
          <w:trHeight w:val="256"/>
        </w:trPr>
        <w:tc>
          <w:tcPr>
            <w:tcW w:w="2754" w:type="dxa"/>
          </w:tcPr>
          <w:p w14:paraId="68DB11DF" w14:textId="77777777" w:rsidR="00B67AAE" w:rsidRPr="00B67AAE" w:rsidRDefault="00B67AAE" w:rsidP="00DE703D">
            <w:pPr>
              <w:jc w:val="center"/>
              <w:rPr>
                <w:rFonts w:cstheme="minorHAnsi"/>
              </w:rPr>
            </w:pPr>
            <w:r w:rsidRPr="00B67AAE">
              <w:rPr>
                <w:rFonts w:cstheme="minorHAnsi"/>
              </w:rPr>
              <w:t>Female Local</w:t>
            </w:r>
          </w:p>
        </w:tc>
        <w:tc>
          <w:tcPr>
            <w:tcW w:w="3105" w:type="dxa"/>
          </w:tcPr>
          <w:p w14:paraId="374983C2" w14:textId="77777777" w:rsidR="00B67AAE" w:rsidRPr="00B67AAE" w:rsidRDefault="00B67AAE" w:rsidP="00DE703D">
            <w:pPr>
              <w:jc w:val="center"/>
              <w:rPr>
                <w:rFonts w:cstheme="minorHAnsi"/>
              </w:rPr>
            </w:pPr>
            <w:r w:rsidRPr="00B67AAE">
              <w:rPr>
                <w:rFonts w:cstheme="minorHAnsi"/>
              </w:rPr>
              <w:t>17%</w:t>
            </w:r>
          </w:p>
        </w:tc>
        <w:tc>
          <w:tcPr>
            <w:tcW w:w="3104" w:type="dxa"/>
          </w:tcPr>
          <w:p w14:paraId="1A508AF6" w14:textId="77777777" w:rsidR="00B67AAE" w:rsidRPr="00B67AAE" w:rsidRDefault="00B67AAE" w:rsidP="00DE703D">
            <w:pPr>
              <w:jc w:val="center"/>
              <w:rPr>
                <w:rFonts w:cstheme="minorHAnsi"/>
              </w:rPr>
            </w:pPr>
            <w:r w:rsidRPr="00B67AAE">
              <w:rPr>
                <w:rFonts w:cstheme="minorHAnsi"/>
              </w:rPr>
              <w:t>15%</w:t>
            </w:r>
          </w:p>
        </w:tc>
      </w:tr>
      <w:tr w:rsidR="00B67AAE" w:rsidRPr="00B67AAE" w14:paraId="05276B32" w14:textId="77777777" w:rsidTr="00DE703D">
        <w:trPr>
          <w:trHeight w:val="256"/>
        </w:trPr>
        <w:tc>
          <w:tcPr>
            <w:tcW w:w="2754" w:type="dxa"/>
          </w:tcPr>
          <w:p w14:paraId="6E7BA551" w14:textId="77777777" w:rsidR="00B67AAE" w:rsidRPr="00B67AAE" w:rsidRDefault="00B67AAE" w:rsidP="00DE703D">
            <w:pPr>
              <w:jc w:val="center"/>
              <w:rPr>
                <w:rFonts w:cstheme="minorHAnsi"/>
              </w:rPr>
            </w:pPr>
            <w:r w:rsidRPr="00B67AAE">
              <w:rPr>
                <w:rFonts w:cstheme="minorHAnsi"/>
              </w:rPr>
              <w:t>Female Open</w:t>
            </w:r>
          </w:p>
        </w:tc>
        <w:tc>
          <w:tcPr>
            <w:tcW w:w="3105" w:type="dxa"/>
          </w:tcPr>
          <w:p w14:paraId="188208DE" w14:textId="77777777" w:rsidR="00B67AAE" w:rsidRPr="00B67AAE" w:rsidRDefault="00B67AAE" w:rsidP="00DE703D">
            <w:pPr>
              <w:jc w:val="center"/>
              <w:rPr>
                <w:rFonts w:cstheme="minorHAnsi"/>
              </w:rPr>
            </w:pPr>
            <w:r w:rsidRPr="00B67AAE">
              <w:rPr>
                <w:rFonts w:cstheme="minorHAnsi"/>
              </w:rPr>
              <w:t>8%</w:t>
            </w:r>
          </w:p>
        </w:tc>
        <w:tc>
          <w:tcPr>
            <w:tcW w:w="3104" w:type="dxa"/>
          </w:tcPr>
          <w:p w14:paraId="4F9AEA9D" w14:textId="77777777" w:rsidR="00B67AAE" w:rsidRPr="00B67AAE" w:rsidRDefault="00B67AAE" w:rsidP="00DE703D">
            <w:pPr>
              <w:jc w:val="center"/>
              <w:rPr>
                <w:rFonts w:cstheme="minorHAnsi"/>
              </w:rPr>
            </w:pPr>
            <w:r w:rsidRPr="00B67AAE">
              <w:rPr>
                <w:rFonts w:cstheme="minorHAnsi"/>
              </w:rPr>
              <w:t>9%</w:t>
            </w:r>
          </w:p>
        </w:tc>
      </w:tr>
      <w:tr w:rsidR="00B67AAE" w:rsidRPr="00B67AAE" w14:paraId="5A01899B" w14:textId="77777777" w:rsidTr="00DE703D">
        <w:trPr>
          <w:trHeight w:val="256"/>
        </w:trPr>
        <w:tc>
          <w:tcPr>
            <w:tcW w:w="2754" w:type="dxa"/>
          </w:tcPr>
          <w:p w14:paraId="54480EB1" w14:textId="77777777" w:rsidR="00B67AAE" w:rsidRPr="00B67AAE" w:rsidRDefault="00B67AAE" w:rsidP="00DE703D">
            <w:pPr>
              <w:jc w:val="center"/>
              <w:rPr>
                <w:rFonts w:cstheme="minorHAnsi"/>
              </w:rPr>
            </w:pPr>
            <w:r w:rsidRPr="00B67AAE">
              <w:rPr>
                <w:rFonts w:cstheme="minorHAnsi"/>
              </w:rPr>
              <w:t>Male Category B</w:t>
            </w:r>
          </w:p>
        </w:tc>
        <w:tc>
          <w:tcPr>
            <w:tcW w:w="3105" w:type="dxa"/>
          </w:tcPr>
          <w:p w14:paraId="6B68789C" w14:textId="77777777" w:rsidR="00B67AAE" w:rsidRPr="00B67AAE" w:rsidRDefault="00B67AAE" w:rsidP="00DE703D">
            <w:pPr>
              <w:jc w:val="center"/>
              <w:rPr>
                <w:rFonts w:cstheme="minorHAnsi"/>
              </w:rPr>
            </w:pPr>
            <w:r w:rsidRPr="00B67AAE">
              <w:rPr>
                <w:rFonts w:cstheme="minorHAnsi"/>
              </w:rPr>
              <w:t>11%</w:t>
            </w:r>
          </w:p>
        </w:tc>
        <w:tc>
          <w:tcPr>
            <w:tcW w:w="3104" w:type="dxa"/>
          </w:tcPr>
          <w:p w14:paraId="21E7F07C" w14:textId="77777777" w:rsidR="00B67AAE" w:rsidRPr="00B67AAE" w:rsidRDefault="00B67AAE" w:rsidP="00DE703D">
            <w:pPr>
              <w:jc w:val="center"/>
              <w:rPr>
                <w:rFonts w:cstheme="minorHAnsi"/>
              </w:rPr>
            </w:pPr>
            <w:r w:rsidRPr="00B67AAE">
              <w:rPr>
                <w:rFonts w:cstheme="minorHAnsi"/>
              </w:rPr>
              <w:t>21%</w:t>
            </w:r>
          </w:p>
        </w:tc>
      </w:tr>
      <w:tr w:rsidR="00B67AAE" w:rsidRPr="00B67AAE" w14:paraId="7E056E39" w14:textId="77777777" w:rsidTr="00DE703D">
        <w:trPr>
          <w:trHeight w:val="256"/>
        </w:trPr>
        <w:tc>
          <w:tcPr>
            <w:tcW w:w="2754" w:type="dxa"/>
          </w:tcPr>
          <w:p w14:paraId="0808E0DE" w14:textId="77777777" w:rsidR="00B67AAE" w:rsidRPr="00B67AAE" w:rsidRDefault="00B67AAE" w:rsidP="00DE703D">
            <w:pPr>
              <w:jc w:val="center"/>
              <w:rPr>
                <w:rFonts w:cstheme="minorHAnsi"/>
              </w:rPr>
            </w:pPr>
            <w:r w:rsidRPr="00B67AAE">
              <w:rPr>
                <w:rFonts w:cstheme="minorHAnsi"/>
              </w:rPr>
              <w:t>Male Category C</w:t>
            </w:r>
          </w:p>
        </w:tc>
        <w:tc>
          <w:tcPr>
            <w:tcW w:w="3105" w:type="dxa"/>
          </w:tcPr>
          <w:p w14:paraId="57A76B28" w14:textId="77777777" w:rsidR="00B67AAE" w:rsidRPr="00B67AAE" w:rsidRDefault="00B67AAE" w:rsidP="00DE703D">
            <w:pPr>
              <w:jc w:val="center"/>
              <w:rPr>
                <w:rFonts w:cstheme="minorHAnsi"/>
              </w:rPr>
            </w:pPr>
            <w:r w:rsidRPr="00B67AAE">
              <w:rPr>
                <w:rFonts w:cstheme="minorHAnsi"/>
              </w:rPr>
              <w:t>9%</w:t>
            </w:r>
          </w:p>
        </w:tc>
        <w:tc>
          <w:tcPr>
            <w:tcW w:w="3104" w:type="dxa"/>
          </w:tcPr>
          <w:p w14:paraId="4CC6B473" w14:textId="77777777" w:rsidR="00B67AAE" w:rsidRPr="00B67AAE" w:rsidRDefault="00B67AAE" w:rsidP="00DE703D">
            <w:pPr>
              <w:jc w:val="center"/>
              <w:rPr>
                <w:rFonts w:cstheme="minorHAnsi"/>
              </w:rPr>
            </w:pPr>
            <w:r w:rsidRPr="00B67AAE">
              <w:rPr>
                <w:rFonts w:cstheme="minorHAnsi"/>
              </w:rPr>
              <w:t>16%</w:t>
            </w:r>
          </w:p>
        </w:tc>
      </w:tr>
      <w:tr w:rsidR="00B67AAE" w:rsidRPr="00B67AAE" w14:paraId="76881E62" w14:textId="77777777" w:rsidTr="00DE703D">
        <w:trPr>
          <w:trHeight w:val="256"/>
        </w:trPr>
        <w:tc>
          <w:tcPr>
            <w:tcW w:w="2754" w:type="dxa"/>
          </w:tcPr>
          <w:p w14:paraId="316287BB" w14:textId="77777777" w:rsidR="00B67AAE" w:rsidRPr="00B67AAE" w:rsidRDefault="00B67AAE" w:rsidP="00DE703D">
            <w:pPr>
              <w:jc w:val="center"/>
              <w:rPr>
                <w:rFonts w:cstheme="minorHAnsi"/>
              </w:rPr>
            </w:pPr>
            <w:r w:rsidRPr="00B67AAE">
              <w:rPr>
                <w:rFonts w:cstheme="minorHAnsi"/>
              </w:rPr>
              <w:t>Male Closed YOI</w:t>
            </w:r>
          </w:p>
        </w:tc>
        <w:tc>
          <w:tcPr>
            <w:tcW w:w="3105" w:type="dxa"/>
          </w:tcPr>
          <w:p w14:paraId="2BFDD0B3" w14:textId="77777777" w:rsidR="00B67AAE" w:rsidRPr="00B67AAE" w:rsidRDefault="00B67AAE" w:rsidP="00DE703D">
            <w:pPr>
              <w:jc w:val="center"/>
              <w:rPr>
                <w:rFonts w:cstheme="minorHAnsi"/>
              </w:rPr>
            </w:pPr>
            <w:r w:rsidRPr="00B67AAE">
              <w:rPr>
                <w:rFonts w:cstheme="minorHAnsi"/>
              </w:rPr>
              <w:t>17%</w:t>
            </w:r>
          </w:p>
        </w:tc>
        <w:tc>
          <w:tcPr>
            <w:tcW w:w="3104" w:type="dxa"/>
          </w:tcPr>
          <w:p w14:paraId="433C2C9B" w14:textId="77777777" w:rsidR="00B67AAE" w:rsidRPr="00B67AAE" w:rsidRDefault="00B67AAE" w:rsidP="00DE703D">
            <w:pPr>
              <w:jc w:val="center"/>
              <w:rPr>
                <w:rFonts w:cstheme="minorHAnsi"/>
              </w:rPr>
            </w:pPr>
            <w:r w:rsidRPr="00B67AAE">
              <w:rPr>
                <w:rFonts w:cstheme="minorHAnsi"/>
              </w:rPr>
              <w:t>34%</w:t>
            </w:r>
          </w:p>
        </w:tc>
      </w:tr>
      <w:tr w:rsidR="00B67AAE" w:rsidRPr="00B67AAE" w14:paraId="37089FFB" w14:textId="77777777" w:rsidTr="00DE703D">
        <w:trPr>
          <w:trHeight w:val="256"/>
        </w:trPr>
        <w:tc>
          <w:tcPr>
            <w:tcW w:w="2754" w:type="dxa"/>
          </w:tcPr>
          <w:p w14:paraId="5F027AE7" w14:textId="77777777" w:rsidR="00B67AAE" w:rsidRPr="00B67AAE" w:rsidRDefault="00B67AAE" w:rsidP="00DE703D">
            <w:pPr>
              <w:jc w:val="center"/>
              <w:rPr>
                <w:rFonts w:cstheme="minorHAnsi"/>
              </w:rPr>
            </w:pPr>
            <w:r w:rsidRPr="00B67AAE">
              <w:rPr>
                <w:rFonts w:cstheme="minorHAnsi"/>
              </w:rPr>
              <w:t>Male Dispersal</w:t>
            </w:r>
          </w:p>
        </w:tc>
        <w:tc>
          <w:tcPr>
            <w:tcW w:w="3105" w:type="dxa"/>
          </w:tcPr>
          <w:p w14:paraId="7D31DFEF" w14:textId="77777777" w:rsidR="00B67AAE" w:rsidRPr="00B67AAE" w:rsidRDefault="00B67AAE" w:rsidP="00DE703D">
            <w:pPr>
              <w:jc w:val="center"/>
              <w:rPr>
                <w:rFonts w:cstheme="minorHAnsi"/>
              </w:rPr>
            </w:pPr>
            <w:r w:rsidRPr="00B67AAE">
              <w:rPr>
                <w:rFonts w:cstheme="minorHAnsi"/>
              </w:rPr>
              <w:t>4%</w:t>
            </w:r>
          </w:p>
        </w:tc>
        <w:tc>
          <w:tcPr>
            <w:tcW w:w="3104" w:type="dxa"/>
          </w:tcPr>
          <w:p w14:paraId="7D68C2DD" w14:textId="77777777" w:rsidR="00B67AAE" w:rsidRPr="00B67AAE" w:rsidRDefault="00B67AAE" w:rsidP="00DE703D">
            <w:pPr>
              <w:jc w:val="center"/>
              <w:rPr>
                <w:rFonts w:cstheme="minorHAnsi"/>
              </w:rPr>
            </w:pPr>
            <w:r w:rsidRPr="00B67AAE">
              <w:rPr>
                <w:rFonts w:cstheme="minorHAnsi"/>
              </w:rPr>
              <w:t>15%</w:t>
            </w:r>
          </w:p>
        </w:tc>
      </w:tr>
      <w:tr w:rsidR="00B67AAE" w:rsidRPr="00B67AAE" w14:paraId="23F388DA" w14:textId="77777777" w:rsidTr="00DE703D">
        <w:trPr>
          <w:trHeight w:val="256"/>
        </w:trPr>
        <w:tc>
          <w:tcPr>
            <w:tcW w:w="2754" w:type="dxa"/>
          </w:tcPr>
          <w:p w14:paraId="60EE3839" w14:textId="77777777" w:rsidR="00B67AAE" w:rsidRPr="00B67AAE" w:rsidRDefault="00B67AAE" w:rsidP="00DE703D">
            <w:pPr>
              <w:jc w:val="center"/>
              <w:rPr>
                <w:rFonts w:cstheme="minorHAnsi"/>
              </w:rPr>
            </w:pPr>
            <w:r w:rsidRPr="00B67AAE">
              <w:rPr>
                <w:rFonts w:cstheme="minorHAnsi"/>
              </w:rPr>
              <w:t>Male Local</w:t>
            </w:r>
          </w:p>
        </w:tc>
        <w:tc>
          <w:tcPr>
            <w:tcW w:w="3105" w:type="dxa"/>
          </w:tcPr>
          <w:p w14:paraId="2DEFCCF5" w14:textId="77777777" w:rsidR="00B67AAE" w:rsidRPr="00B67AAE" w:rsidRDefault="00B67AAE" w:rsidP="00DE703D">
            <w:pPr>
              <w:jc w:val="center"/>
              <w:rPr>
                <w:rFonts w:cstheme="minorHAnsi"/>
              </w:rPr>
            </w:pPr>
            <w:r w:rsidRPr="00B67AAE">
              <w:rPr>
                <w:rFonts w:cstheme="minorHAnsi"/>
              </w:rPr>
              <w:t>13%</w:t>
            </w:r>
          </w:p>
        </w:tc>
        <w:tc>
          <w:tcPr>
            <w:tcW w:w="3104" w:type="dxa"/>
          </w:tcPr>
          <w:p w14:paraId="63969C35" w14:textId="77777777" w:rsidR="00B67AAE" w:rsidRPr="00B67AAE" w:rsidRDefault="00B67AAE" w:rsidP="00DE703D">
            <w:pPr>
              <w:jc w:val="center"/>
              <w:rPr>
                <w:rFonts w:cstheme="minorHAnsi"/>
              </w:rPr>
            </w:pPr>
            <w:r w:rsidRPr="00B67AAE">
              <w:rPr>
                <w:rFonts w:cstheme="minorHAnsi"/>
              </w:rPr>
              <w:t>27%</w:t>
            </w:r>
          </w:p>
        </w:tc>
      </w:tr>
      <w:tr w:rsidR="00B67AAE" w:rsidRPr="00B67AAE" w14:paraId="40EA93BE" w14:textId="77777777" w:rsidTr="00DE703D">
        <w:trPr>
          <w:trHeight w:val="256"/>
        </w:trPr>
        <w:tc>
          <w:tcPr>
            <w:tcW w:w="2754" w:type="dxa"/>
          </w:tcPr>
          <w:p w14:paraId="50D5E6BD" w14:textId="77777777" w:rsidR="00B67AAE" w:rsidRPr="00B67AAE" w:rsidRDefault="00B67AAE" w:rsidP="00DE703D">
            <w:pPr>
              <w:jc w:val="center"/>
              <w:rPr>
                <w:rFonts w:cstheme="minorHAnsi"/>
              </w:rPr>
            </w:pPr>
            <w:r w:rsidRPr="00B67AAE">
              <w:rPr>
                <w:rFonts w:cstheme="minorHAnsi"/>
              </w:rPr>
              <w:t>Male Open</w:t>
            </w:r>
          </w:p>
        </w:tc>
        <w:tc>
          <w:tcPr>
            <w:tcW w:w="3105" w:type="dxa"/>
          </w:tcPr>
          <w:p w14:paraId="3901CECE" w14:textId="77777777" w:rsidR="00B67AAE" w:rsidRPr="00B67AAE" w:rsidRDefault="00B67AAE" w:rsidP="00DE703D">
            <w:pPr>
              <w:jc w:val="center"/>
              <w:rPr>
                <w:rFonts w:cstheme="minorHAnsi"/>
              </w:rPr>
            </w:pPr>
            <w:r w:rsidRPr="00B67AAE">
              <w:rPr>
                <w:rFonts w:cstheme="minorHAnsi"/>
              </w:rPr>
              <w:t>6%</w:t>
            </w:r>
          </w:p>
        </w:tc>
        <w:tc>
          <w:tcPr>
            <w:tcW w:w="3104" w:type="dxa"/>
          </w:tcPr>
          <w:p w14:paraId="15678F21" w14:textId="77777777" w:rsidR="00B67AAE" w:rsidRPr="00B67AAE" w:rsidRDefault="00B67AAE" w:rsidP="00DE703D">
            <w:pPr>
              <w:jc w:val="center"/>
              <w:rPr>
                <w:rFonts w:cstheme="minorHAnsi"/>
              </w:rPr>
            </w:pPr>
            <w:r w:rsidRPr="00B67AAE">
              <w:rPr>
                <w:rFonts w:cstheme="minorHAnsi"/>
              </w:rPr>
              <w:t>10%</w:t>
            </w:r>
          </w:p>
        </w:tc>
      </w:tr>
    </w:tbl>
    <w:p w14:paraId="702D719C" w14:textId="77777777" w:rsidR="00647C0D" w:rsidRPr="00B67AAE" w:rsidRDefault="00647C0D" w:rsidP="004208E9">
      <w:pPr>
        <w:rPr>
          <w:rFonts w:cstheme="minorHAnsi"/>
        </w:rPr>
      </w:pPr>
    </w:p>
    <w:p w14:paraId="75794EE7" w14:textId="5A251B67" w:rsidR="009E2E6A" w:rsidRDefault="004208E9" w:rsidP="00DE703D">
      <w:pPr>
        <w:pStyle w:val="ListParagraph"/>
        <w:numPr>
          <w:ilvl w:val="1"/>
          <w:numId w:val="32"/>
        </w:numPr>
        <w:ind w:left="0"/>
        <w:rPr>
          <w:rFonts w:cstheme="minorHAnsi"/>
        </w:rPr>
      </w:pPr>
      <w:r w:rsidRPr="00DE703D">
        <w:rPr>
          <w:rFonts w:cstheme="minorHAnsi"/>
        </w:rPr>
        <w:t xml:space="preserve">Here the most recent figures show </w:t>
      </w:r>
      <w:r w:rsidR="00DF748F" w:rsidRPr="00DE703D">
        <w:rPr>
          <w:rFonts w:cstheme="minorHAnsi"/>
        </w:rPr>
        <w:t>M</w:t>
      </w:r>
      <w:r w:rsidRPr="00DE703D">
        <w:rPr>
          <w:rFonts w:cstheme="minorHAnsi"/>
        </w:rPr>
        <w:t>ale Closed YOI</w:t>
      </w:r>
      <w:r w:rsidR="00DF748F" w:rsidRPr="00DE703D">
        <w:rPr>
          <w:rFonts w:cstheme="minorHAnsi"/>
        </w:rPr>
        <w:t>s</w:t>
      </w:r>
      <w:r w:rsidRPr="00DE703D">
        <w:rPr>
          <w:rFonts w:cstheme="minorHAnsi"/>
        </w:rPr>
        <w:t xml:space="preserve"> hav</w:t>
      </w:r>
      <w:r w:rsidR="00DF748F" w:rsidRPr="00DE703D">
        <w:rPr>
          <w:rFonts w:cstheme="minorHAnsi"/>
        </w:rPr>
        <w:t>ing</w:t>
      </w:r>
      <w:r w:rsidRPr="00DE703D">
        <w:rPr>
          <w:rFonts w:cstheme="minorHAnsi"/>
        </w:rPr>
        <w:t xml:space="preserve"> the highest decline rate at 34%</w:t>
      </w:r>
      <w:r w:rsidR="0082717B" w:rsidRPr="00DE703D">
        <w:rPr>
          <w:rFonts w:cstheme="minorHAnsi"/>
        </w:rPr>
        <w:t>,</w:t>
      </w:r>
      <w:r w:rsidRPr="00DE703D">
        <w:rPr>
          <w:rFonts w:cstheme="minorHAnsi"/>
        </w:rPr>
        <w:t xml:space="preserve"> whereas </w:t>
      </w:r>
      <w:r w:rsidR="00DF748F" w:rsidRPr="00DE703D">
        <w:rPr>
          <w:rFonts w:cstheme="minorHAnsi"/>
        </w:rPr>
        <w:t>F</w:t>
      </w:r>
      <w:r w:rsidRPr="00DE703D">
        <w:rPr>
          <w:rFonts w:cstheme="minorHAnsi"/>
        </w:rPr>
        <w:t xml:space="preserve">emale </w:t>
      </w:r>
      <w:r w:rsidR="00DF748F" w:rsidRPr="00DE703D">
        <w:rPr>
          <w:rFonts w:cstheme="minorHAnsi"/>
        </w:rPr>
        <w:t>L</w:t>
      </w:r>
      <w:r w:rsidRPr="00DE703D">
        <w:rPr>
          <w:rFonts w:cstheme="minorHAnsi"/>
        </w:rPr>
        <w:t xml:space="preserve">ocal prisons have the lowest </w:t>
      </w:r>
      <w:r w:rsidR="00E464A1" w:rsidRPr="00DE703D">
        <w:rPr>
          <w:rFonts w:cstheme="minorHAnsi"/>
        </w:rPr>
        <w:t xml:space="preserve">at </w:t>
      </w:r>
      <w:r w:rsidRPr="00DE703D">
        <w:rPr>
          <w:rFonts w:cstheme="minorHAnsi"/>
        </w:rPr>
        <w:t xml:space="preserve">9%. Noticeably between </w:t>
      </w:r>
      <w:r w:rsidR="00DF748F" w:rsidRPr="00DE703D">
        <w:rPr>
          <w:rFonts w:cstheme="minorHAnsi"/>
        </w:rPr>
        <w:t>8</w:t>
      </w:r>
      <w:r w:rsidR="00DF748F" w:rsidRPr="00DE703D">
        <w:rPr>
          <w:rFonts w:cstheme="minorHAnsi"/>
          <w:vertAlign w:val="superscript"/>
        </w:rPr>
        <w:t>th</w:t>
      </w:r>
      <w:r w:rsidR="00DF748F" w:rsidRPr="00DE703D">
        <w:rPr>
          <w:rFonts w:cstheme="minorHAnsi"/>
        </w:rPr>
        <w:t xml:space="preserve"> March</w:t>
      </w:r>
      <w:r w:rsidRPr="00DE703D">
        <w:rPr>
          <w:rFonts w:cstheme="minorHAnsi"/>
        </w:rPr>
        <w:t xml:space="preserve"> and </w:t>
      </w:r>
      <w:r w:rsidR="00DF748F" w:rsidRPr="00DE703D">
        <w:rPr>
          <w:rFonts w:cstheme="minorHAnsi"/>
        </w:rPr>
        <w:t>15</w:t>
      </w:r>
      <w:r w:rsidR="00DF748F" w:rsidRPr="00DE703D">
        <w:rPr>
          <w:rFonts w:cstheme="minorHAnsi"/>
          <w:vertAlign w:val="superscript"/>
        </w:rPr>
        <w:t>th</w:t>
      </w:r>
      <w:r w:rsidR="00DF748F" w:rsidRPr="00DE703D">
        <w:rPr>
          <w:rFonts w:cstheme="minorHAnsi"/>
        </w:rPr>
        <w:t xml:space="preserve"> April,</w:t>
      </w:r>
      <w:r w:rsidRPr="00DE703D">
        <w:rPr>
          <w:rFonts w:cstheme="minorHAnsi"/>
        </w:rPr>
        <w:t xml:space="preserve"> each prison function has seen an increase in decline rates </w:t>
      </w:r>
      <w:r w:rsidR="00DF748F" w:rsidRPr="00DE703D">
        <w:rPr>
          <w:rFonts w:cstheme="minorHAnsi"/>
        </w:rPr>
        <w:t>except for</w:t>
      </w:r>
      <w:r w:rsidR="008F5959" w:rsidRPr="00DE703D">
        <w:rPr>
          <w:rFonts w:cstheme="minorHAnsi"/>
        </w:rPr>
        <w:t xml:space="preserve"> the </w:t>
      </w:r>
      <w:r w:rsidR="00DF748F" w:rsidRPr="00DE703D">
        <w:rPr>
          <w:rFonts w:cstheme="minorHAnsi"/>
        </w:rPr>
        <w:t>F</w:t>
      </w:r>
      <w:r w:rsidR="008F5959" w:rsidRPr="00DE703D">
        <w:rPr>
          <w:rFonts w:cstheme="minorHAnsi"/>
        </w:rPr>
        <w:t xml:space="preserve">emale </w:t>
      </w:r>
      <w:r w:rsidR="00DF748F" w:rsidRPr="00DE703D">
        <w:rPr>
          <w:rFonts w:cstheme="minorHAnsi"/>
        </w:rPr>
        <w:t>L</w:t>
      </w:r>
      <w:r w:rsidR="008F5959" w:rsidRPr="00DE703D">
        <w:rPr>
          <w:rFonts w:cstheme="minorHAnsi"/>
        </w:rPr>
        <w:t>ocal estate</w:t>
      </w:r>
      <w:r w:rsidR="00DF748F" w:rsidRPr="00DE703D">
        <w:rPr>
          <w:rFonts w:cstheme="minorHAnsi"/>
        </w:rPr>
        <w:t>,</w:t>
      </w:r>
      <w:r w:rsidR="008F5959" w:rsidRPr="00DE703D">
        <w:rPr>
          <w:rFonts w:cstheme="minorHAnsi"/>
        </w:rPr>
        <w:t xml:space="preserve"> who saw a 2% decrease.</w:t>
      </w:r>
    </w:p>
    <w:p w14:paraId="0ACE2DC4" w14:textId="77777777" w:rsidR="009E2E6A" w:rsidRDefault="009E2E6A" w:rsidP="001C62DF">
      <w:pPr>
        <w:pStyle w:val="ListParagraph"/>
        <w:ind w:left="0"/>
        <w:rPr>
          <w:rFonts w:cstheme="minorHAnsi"/>
        </w:rPr>
      </w:pPr>
    </w:p>
    <w:p w14:paraId="400D135F" w14:textId="351079EB" w:rsidR="0042257E" w:rsidRDefault="00A64C3F" w:rsidP="00DE703D">
      <w:pPr>
        <w:pStyle w:val="ListParagraph"/>
        <w:numPr>
          <w:ilvl w:val="1"/>
          <w:numId w:val="32"/>
        </w:numPr>
        <w:ind w:left="0"/>
        <w:rPr>
          <w:rFonts w:cstheme="minorHAnsi"/>
        </w:rPr>
      </w:pPr>
      <w:r w:rsidRPr="00DE703D">
        <w:rPr>
          <w:rFonts w:cstheme="minorHAnsi"/>
        </w:rPr>
        <w:t>From</w:t>
      </w:r>
      <w:r w:rsidR="00FA4C9E" w:rsidRPr="00DE703D">
        <w:rPr>
          <w:rFonts w:cstheme="minorHAnsi"/>
        </w:rPr>
        <w:t xml:space="preserve"> liaising with</w:t>
      </w:r>
      <w:r w:rsidR="0034344A" w:rsidRPr="00DE703D">
        <w:rPr>
          <w:rFonts w:cstheme="minorHAnsi"/>
        </w:rPr>
        <w:t xml:space="preserve"> </w:t>
      </w:r>
      <w:r w:rsidR="00FA4C9E" w:rsidRPr="00DE703D">
        <w:rPr>
          <w:rFonts w:cstheme="minorHAnsi"/>
        </w:rPr>
        <w:t xml:space="preserve">establishments, </w:t>
      </w:r>
      <w:r w:rsidR="001C62DF">
        <w:rPr>
          <w:rFonts w:cstheme="minorHAnsi"/>
        </w:rPr>
        <w:t>the broad increase in decline rates (with the exception of Female Locals)</w:t>
      </w:r>
      <w:r w:rsidR="001F3F5A">
        <w:rPr>
          <w:rFonts w:cstheme="minorHAnsi"/>
        </w:rPr>
        <w:t xml:space="preserve"> can be attributed </w:t>
      </w:r>
      <w:r w:rsidR="004208E9" w:rsidRPr="00DE703D">
        <w:rPr>
          <w:rFonts w:cstheme="minorHAnsi"/>
        </w:rPr>
        <w:t xml:space="preserve">to the progression of the vaccine rollout where </w:t>
      </w:r>
      <w:r w:rsidR="001F3F5A">
        <w:rPr>
          <w:rFonts w:cstheme="minorHAnsi"/>
        </w:rPr>
        <w:t>NHS</w:t>
      </w:r>
      <w:r w:rsidR="004208E9" w:rsidRPr="00DE703D">
        <w:rPr>
          <w:rFonts w:cstheme="minorHAnsi"/>
        </w:rPr>
        <w:t xml:space="preserve"> are now vaccinating those of a younger age, namely Cohort 6</w:t>
      </w:r>
      <w:r w:rsidR="00DF748F" w:rsidRPr="00DE703D">
        <w:rPr>
          <w:rFonts w:cstheme="minorHAnsi"/>
        </w:rPr>
        <w:t>,</w:t>
      </w:r>
      <w:r w:rsidR="004208E9" w:rsidRPr="00DE703D">
        <w:rPr>
          <w:rFonts w:cstheme="minorHAnsi"/>
        </w:rPr>
        <w:t xml:space="preserve"> w</w:t>
      </w:r>
      <w:r w:rsidR="00860E3D" w:rsidRPr="00DE703D">
        <w:rPr>
          <w:rFonts w:cstheme="minorHAnsi"/>
        </w:rPr>
        <w:t>h</w:t>
      </w:r>
      <w:r w:rsidR="004208E9" w:rsidRPr="00DE703D">
        <w:rPr>
          <w:rFonts w:cstheme="minorHAnsi"/>
        </w:rPr>
        <w:t xml:space="preserve">ere significant vaccine decline rates </w:t>
      </w:r>
      <w:r w:rsidR="001F3F5A">
        <w:rPr>
          <w:rFonts w:cstheme="minorHAnsi"/>
        </w:rPr>
        <w:t xml:space="preserve">have been noted </w:t>
      </w:r>
      <w:r w:rsidR="004208E9" w:rsidRPr="00DE703D">
        <w:rPr>
          <w:rFonts w:cstheme="minorHAnsi"/>
        </w:rPr>
        <w:t xml:space="preserve">compared to earlier Cohorts. </w:t>
      </w:r>
      <w:r w:rsidR="00135DE9" w:rsidRPr="00DE703D">
        <w:rPr>
          <w:rFonts w:cstheme="minorHAnsi"/>
        </w:rPr>
        <w:t>From</w:t>
      </w:r>
      <w:r w:rsidR="00826150" w:rsidRPr="00DE703D">
        <w:rPr>
          <w:rFonts w:cstheme="minorHAnsi"/>
        </w:rPr>
        <w:t xml:space="preserve"> local healthcare</w:t>
      </w:r>
      <w:r w:rsidR="00DF748F" w:rsidRPr="00DE703D">
        <w:rPr>
          <w:rFonts w:cstheme="minorHAnsi"/>
        </w:rPr>
        <w:t xml:space="preserve"> feedback</w:t>
      </w:r>
      <w:r w:rsidR="0093680B" w:rsidRPr="00DE703D">
        <w:rPr>
          <w:rFonts w:cstheme="minorHAnsi"/>
        </w:rPr>
        <w:t>,</w:t>
      </w:r>
      <w:r w:rsidR="00826150" w:rsidRPr="00DE703D">
        <w:rPr>
          <w:rFonts w:cstheme="minorHAnsi"/>
        </w:rPr>
        <w:t xml:space="preserve"> younger </w:t>
      </w:r>
      <w:r w:rsidR="00736227" w:rsidRPr="00DE703D">
        <w:rPr>
          <w:rFonts w:cstheme="minorHAnsi"/>
        </w:rPr>
        <w:t>people</w:t>
      </w:r>
      <w:r w:rsidR="00E942E8" w:rsidRPr="00DE703D">
        <w:rPr>
          <w:rFonts w:cstheme="minorHAnsi"/>
        </w:rPr>
        <w:t xml:space="preserve"> within Cohort 6</w:t>
      </w:r>
      <w:r w:rsidR="00826150" w:rsidRPr="00DE703D">
        <w:rPr>
          <w:rFonts w:cstheme="minorHAnsi"/>
        </w:rPr>
        <w:t xml:space="preserve"> are less engaged</w:t>
      </w:r>
      <w:r w:rsidR="00E942E8" w:rsidRPr="00DE703D">
        <w:rPr>
          <w:rFonts w:cstheme="minorHAnsi"/>
        </w:rPr>
        <w:t xml:space="preserve"> in general</w:t>
      </w:r>
      <w:r w:rsidR="00826150" w:rsidRPr="00DE703D">
        <w:rPr>
          <w:rFonts w:cstheme="minorHAnsi"/>
        </w:rPr>
        <w:t xml:space="preserve"> with </w:t>
      </w:r>
      <w:r w:rsidR="00736227" w:rsidRPr="00DE703D">
        <w:rPr>
          <w:rFonts w:cstheme="minorHAnsi"/>
        </w:rPr>
        <w:t>the vaccine rollout</w:t>
      </w:r>
      <w:r w:rsidR="006454D4" w:rsidRPr="00DE703D">
        <w:rPr>
          <w:rFonts w:cstheme="minorHAnsi"/>
        </w:rPr>
        <w:t xml:space="preserve"> and negative parental influence is strongly affecting young people’s reasoning</w:t>
      </w:r>
      <w:r w:rsidR="00B11952" w:rsidRPr="00DE703D">
        <w:rPr>
          <w:rFonts w:cstheme="minorHAnsi"/>
        </w:rPr>
        <w:t>.</w:t>
      </w:r>
      <w:r w:rsidR="005074EB" w:rsidRPr="00DE703D">
        <w:rPr>
          <w:rFonts w:cstheme="minorHAnsi"/>
        </w:rPr>
        <w:t xml:space="preserve"> </w:t>
      </w:r>
    </w:p>
    <w:p w14:paraId="11312EA7" w14:textId="77777777" w:rsidR="00DE703D" w:rsidRPr="00DE703D" w:rsidRDefault="00DE703D" w:rsidP="00DE703D">
      <w:pPr>
        <w:pStyle w:val="ListParagraph"/>
        <w:ind w:left="0"/>
        <w:rPr>
          <w:rFonts w:cstheme="minorHAnsi"/>
        </w:rPr>
      </w:pPr>
    </w:p>
    <w:p w14:paraId="339AF48F" w14:textId="35AD824F" w:rsidR="00DE703D" w:rsidRDefault="00DF748F" w:rsidP="00DE703D">
      <w:pPr>
        <w:pStyle w:val="ListParagraph"/>
        <w:numPr>
          <w:ilvl w:val="1"/>
          <w:numId w:val="32"/>
        </w:numPr>
        <w:ind w:left="0"/>
        <w:rPr>
          <w:rFonts w:cstheme="minorHAnsi"/>
        </w:rPr>
      </w:pPr>
      <w:r w:rsidRPr="00DE703D">
        <w:rPr>
          <w:rFonts w:cstheme="minorHAnsi"/>
        </w:rPr>
        <w:t>Concerns regarding f</w:t>
      </w:r>
      <w:r w:rsidR="005074EB" w:rsidRPr="00DE703D">
        <w:rPr>
          <w:rFonts w:cstheme="minorHAnsi"/>
        </w:rPr>
        <w:t xml:space="preserve">ertility and pregnancy are </w:t>
      </w:r>
      <w:r w:rsidR="00056C4C" w:rsidRPr="00DE703D">
        <w:rPr>
          <w:rFonts w:cstheme="minorHAnsi"/>
        </w:rPr>
        <w:t xml:space="preserve">also </w:t>
      </w:r>
      <w:r w:rsidR="005074EB" w:rsidRPr="00DE703D">
        <w:rPr>
          <w:rFonts w:cstheme="minorHAnsi"/>
        </w:rPr>
        <w:t>strongly linked to this decline in young people, with the negative media hysteria and fake news.</w:t>
      </w:r>
      <w:r w:rsidR="008F5959" w:rsidRPr="00DE703D">
        <w:rPr>
          <w:rFonts w:cstheme="minorHAnsi"/>
        </w:rPr>
        <w:t xml:space="preserve"> This was especially prevalent towards the start of the rollout</w:t>
      </w:r>
      <w:r w:rsidRPr="00DE703D">
        <w:rPr>
          <w:rFonts w:cstheme="minorHAnsi"/>
        </w:rPr>
        <w:t xml:space="preserve"> -</w:t>
      </w:r>
      <w:r w:rsidR="008F5959" w:rsidRPr="00DE703D">
        <w:rPr>
          <w:rFonts w:cstheme="minorHAnsi"/>
        </w:rPr>
        <w:t xml:space="preserve"> accurate information and assurance has now been provided to women</w:t>
      </w:r>
      <w:r w:rsidRPr="00DE703D">
        <w:rPr>
          <w:rFonts w:cstheme="minorHAnsi"/>
        </w:rPr>
        <w:t>,</w:t>
      </w:r>
      <w:r w:rsidR="008F5959" w:rsidRPr="00DE703D">
        <w:rPr>
          <w:rFonts w:cstheme="minorHAnsi"/>
        </w:rPr>
        <w:t xml:space="preserve"> which may explain why their decline rate has dropped</w:t>
      </w:r>
      <w:r w:rsidRPr="00DE703D">
        <w:rPr>
          <w:rFonts w:cstheme="minorHAnsi"/>
        </w:rPr>
        <w:t>, although young males continue to cite fertility as a concern when declining the vaccine</w:t>
      </w:r>
      <w:r w:rsidR="008F5959" w:rsidRPr="00DE703D">
        <w:rPr>
          <w:rFonts w:cstheme="minorHAnsi"/>
        </w:rPr>
        <w:t>. Further feedback suggests that y</w:t>
      </w:r>
      <w:r w:rsidR="005074EB" w:rsidRPr="00DE703D">
        <w:rPr>
          <w:rFonts w:cstheme="minorHAnsi"/>
        </w:rPr>
        <w:t>oung people</w:t>
      </w:r>
      <w:r w:rsidR="00B11952" w:rsidRPr="00DE703D">
        <w:rPr>
          <w:rFonts w:cstheme="minorHAnsi"/>
        </w:rPr>
        <w:t xml:space="preserve"> </w:t>
      </w:r>
      <w:r w:rsidR="000843CF" w:rsidRPr="00DE703D">
        <w:rPr>
          <w:rFonts w:cstheme="minorHAnsi"/>
        </w:rPr>
        <w:t>are</w:t>
      </w:r>
      <w:r w:rsidR="005074EB" w:rsidRPr="00DE703D">
        <w:rPr>
          <w:rFonts w:cstheme="minorHAnsi"/>
        </w:rPr>
        <w:t xml:space="preserve"> more</w:t>
      </w:r>
      <w:r w:rsidR="004019D4" w:rsidRPr="00DE703D">
        <w:rPr>
          <w:rFonts w:cstheme="minorHAnsi"/>
        </w:rPr>
        <w:t xml:space="preserve"> w</w:t>
      </w:r>
      <w:r w:rsidR="002446BD" w:rsidRPr="00DE703D">
        <w:rPr>
          <w:rFonts w:cstheme="minorHAnsi"/>
        </w:rPr>
        <w:t>illing to take the risk of contracting Covid 19</w:t>
      </w:r>
      <w:r w:rsidR="00BD75A5" w:rsidRPr="00DE703D">
        <w:rPr>
          <w:rFonts w:cstheme="minorHAnsi"/>
        </w:rPr>
        <w:t>, instead of putting them</w:t>
      </w:r>
      <w:r w:rsidR="000843CF" w:rsidRPr="00DE703D">
        <w:rPr>
          <w:rFonts w:cstheme="minorHAnsi"/>
        </w:rPr>
        <w:t>sel</w:t>
      </w:r>
      <w:r w:rsidR="0093680B" w:rsidRPr="00DE703D">
        <w:rPr>
          <w:rFonts w:cstheme="minorHAnsi"/>
        </w:rPr>
        <w:t>ves</w:t>
      </w:r>
      <w:r w:rsidR="00BD75A5" w:rsidRPr="00DE703D">
        <w:rPr>
          <w:rFonts w:cstheme="minorHAnsi"/>
        </w:rPr>
        <w:t xml:space="preserve"> through the</w:t>
      </w:r>
      <w:r w:rsidR="005B5464" w:rsidRPr="00DE703D">
        <w:rPr>
          <w:rFonts w:cstheme="minorHAnsi"/>
        </w:rPr>
        <w:t xml:space="preserve"> burden/</w:t>
      </w:r>
      <w:r w:rsidR="00BD75A5" w:rsidRPr="00DE703D">
        <w:rPr>
          <w:rFonts w:cstheme="minorHAnsi"/>
        </w:rPr>
        <w:t xml:space="preserve"> </w:t>
      </w:r>
      <w:r w:rsidR="000843CF" w:rsidRPr="00DE703D">
        <w:rPr>
          <w:rFonts w:cstheme="minorHAnsi"/>
        </w:rPr>
        <w:t>inconvenience</w:t>
      </w:r>
      <w:r w:rsidR="00BD75A5" w:rsidRPr="00DE703D">
        <w:rPr>
          <w:rFonts w:cstheme="minorHAnsi"/>
        </w:rPr>
        <w:t xml:space="preserve"> of a </w:t>
      </w:r>
      <w:r w:rsidR="005B5464" w:rsidRPr="00DE703D">
        <w:rPr>
          <w:rFonts w:cstheme="minorHAnsi"/>
        </w:rPr>
        <w:t>vaccination</w:t>
      </w:r>
      <w:r w:rsidR="00BD75A5" w:rsidRPr="00DE703D">
        <w:rPr>
          <w:rFonts w:cstheme="minorHAnsi"/>
        </w:rPr>
        <w:t xml:space="preserve"> and potentially being ill from this.</w:t>
      </w:r>
      <w:r w:rsidR="004019D4" w:rsidRPr="00DE703D">
        <w:rPr>
          <w:rFonts w:cstheme="minorHAnsi"/>
        </w:rPr>
        <w:t xml:space="preserve"> </w:t>
      </w:r>
      <w:r w:rsidR="00961411" w:rsidRPr="00DE703D">
        <w:rPr>
          <w:rFonts w:cstheme="minorHAnsi"/>
        </w:rPr>
        <w:t xml:space="preserve">Feedback from prisons also cite staff being ill from their vaccination as having a negative effect on </w:t>
      </w:r>
      <w:r w:rsidR="00647C0D" w:rsidRPr="00DE703D">
        <w:rPr>
          <w:rFonts w:cstheme="minorHAnsi"/>
        </w:rPr>
        <w:t>prisoners</w:t>
      </w:r>
      <w:r w:rsidR="00961411" w:rsidRPr="00DE703D">
        <w:rPr>
          <w:rFonts w:cstheme="minorHAnsi"/>
        </w:rPr>
        <w:t xml:space="preserve"> and making them less willing </w:t>
      </w:r>
      <w:r w:rsidR="00647C0D" w:rsidRPr="00DE703D">
        <w:rPr>
          <w:rFonts w:cstheme="minorHAnsi"/>
        </w:rPr>
        <w:t>to accept the vaccine.</w:t>
      </w:r>
    </w:p>
    <w:p w14:paraId="562A0770" w14:textId="77777777" w:rsidR="00DE703D" w:rsidRPr="00DE703D" w:rsidRDefault="00DE703D" w:rsidP="00DE703D">
      <w:pPr>
        <w:pStyle w:val="ListParagraph"/>
        <w:rPr>
          <w:rFonts w:cstheme="minorHAnsi"/>
        </w:rPr>
      </w:pPr>
    </w:p>
    <w:p w14:paraId="3FDBD30C" w14:textId="00214633" w:rsidR="004B73C6" w:rsidRDefault="00465E6B" w:rsidP="00DE703D">
      <w:pPr>
        <w:pStyle w:val="ListParagraph"/>
        <w:numPr>
          <w:ilvl w:val="1"/>
          <w:numId w:val="32"/>
        </w:numPr>
        <w:ind w:left="0"/>
        <w:rPr>
          <w:rFonts w:cstheme="minorHAnsi"/>
        </w:rPr>
      </w:pPr>
      <w:r w:rsidRPr="00DE703D">
        <w:rPr>
          <w:rFonts w:cstheme="minorHAnsi"/>
        </w:rPr>
        <w:t xml:space="preserve">Privately Managed </w:t>
      </w:r>
      <w:r w:rsidR="006D5A61" w:rsidRPr="00DE703D">
        <w:rPr>
          <w:rFonts w:cstheme="minorHAnsi"/>
        </w:rPr>
        <w:t>Prisons</w:t>
      </w:r>
      <w:r w:rsidR="003E7547" w:rsidRPr="00DE703D">
        <w:rPr>
          <w:rFonts w:cstheme="minorHAnsi"/>
        </w:rPr>
        <w:t xml:space="preserve"> </w:t>
      </w:r>
      <w:r w:rsidR="00F05532" w:rsidRPr="00DE703D">
        <w:rPr>
          <w:rFonts w:cstheme="minorHAnsi"/>
        </w:rPr>
        <w:t>(PMP</w:t>
      </w:r>
      <w:r w:rsidR="004762AE" w:rsidRPr="00DE703D">
        <w:rPr>
          <w:rFonts w:cstheme="minorHAnsi"/>
        </w:rPr>
        <w:t>s)</w:t>
      </w:r>
      <w:r w:rsidR="00DF748F" w:rsidRPr="00DE703D">
        <w:rPr>
          <w:rFonts w:cstheme="minorHAnsi"/>
        </w:rPr>
        <w:t>,</w:t>
      </w:r>
      <w:r w:rsidR="004762AE" w:rsidRPr="00DE703D">
        <w:rPr>
          <w:rFonts w:cstheme="minorHAnsi"/>
        </w:rPr>
        <w:t xml:space="preserve"> </w:t>
      </w:r>
      <w:r w:rsidR="003E7547" w:rsidRPr="00DE703D">
        <w:rPr>
          <w:rFonts w:cstheme="minorHAnsi"/>
        </w:rPr>
        <w:t>specifically</w:t>
      </w:r>
      <w:r w:rsidRPr="00DE703D">
        <w:rPr>
          <w:rFonts w:cstheme="minorHAnsi"/>
        </w:rPr>
        <w:t xml:space="preserve"> </w:t>
      </w:r>
      <w:r w:rsidR="006D5A61" w:rsidRPr="00DE703D">
        <w:rPr>
          <w:rFonts w:cstheme="minorHAnsi"/>
        </w:rPr>
        <w:t>Serco manage</w:t>
      </w:r>
      <w:r w:rsidR="003E7547" w:rsidRPr="00DE703D">
        <w:rPr>
          <w:rFonts w:cstheme="minorHAnsi"/>
        </w:rPr>
        <w:t xml:space="preserve">d </w:t>
      </w:r>
      <w:r w:rsidR="00F05532" w:rsidRPr="00DE703D">
        <w:rPr>
          <w:rFonts w:cstheme="minorHAnsi"/>
        </w:rPr>
        <w:t>prisons</w:t>
      </w:r>
      <w:r w:rsidR="00DF748F" w:rsidRPr="00DE703D">
        <w:rPr>
          <w:rFonts w:cstheme="minorHAnsi"/>
        </w:rPr>
        <w:t>,</w:t>
      </w:r>
      <w:r w:rsidR="003E7547" w:rsidRPr="00DE703D">
        <w:rPr>
          <w:rFonts w:cstheme="minorHAnsi"/>
        </w:rPr>
        <w:t xml:space="preserve"> have been identified as performing well </w:t>
      </w:r>
      <w:r w:rsidR="00A074D5" w:rsidRPr="00DE703D">
        <w:rPr>
          <w:rFonts w:cstheme="minorHAnsi"/>
        </w:rPr>
        <w:t>with</w:t>
      </w:r>
      <w:r w:rsidR="003E7547" w:rsidRPr="00DE703D">
        <w:rPr>
          <w:rFonts w:cstheme="minorHAnsi"/>
        </w:rPr>
        <w:t xml:space="preserve"> vaccine uptake. Serco manage</w:t>
      </w:r>
      <w:r w:rsidR="006D5A61" w:rsidRPr="00DE703D">
        <w:rPr>
          <w:rFonts w:cstheme="minorHAnsi"/>
        </w:rPr>
        <w:t xml:space="preserve"> </w:t>
      </w:r>
      <w:r w:rsidR="001B61CE" w:rsidRPr="00DE703D">
        <w:rPr>
          <w:rFonts w:cstheme="minorHAnsi"/>
        </w:rPr>
        <w:t>five</w:t>
      </w:r>
      <w:r w:rsidR="006D5A61" w:rsidRPr="00DE703D">
        <w:rPr>
          <w:rFonts w:cstheme="minorHAnsi"/>
        </w:rPr>
        <w:t xml:space="preserve"> prisons in England and Wales, </w:t>
      </w:r>
      <w:r w:rsidR="001B61CE" w:rsidRPr="00DE703D">
        <w:rPr>
          <w:rFonts w:cstheme="minorHAnsi"/>
        </w:rPr>
        <w:t>three</w:t>
      </w:r>
      <w:r w:rsidR="006D5A61" w:rsidRPr="00DE703D">
        <w:rPr>
          <w:rFonts w:cstheme="minorHAnsi"/>
        </w:rPr>
        <w:t xml:space="preserve"> of which</w:t>
      </w:r>
      <w:r w:rsidR="00F05532" w:rsidRPr="00DE703D">
        <w:rPr>
          <w:rFonts w:cstheme="minorHAnsi"/>
        </w:rPr>
        <w:t xml:space="preserve"> a</w:t>
      </w:r>
      <w:r w:rsidR="001B61CE" w:rsidRPr="00DE703D">
        <w:rPr>
          <w:rFonts w:cstheme="minorHAnsi"/>
        </w:rPr>
        <w:t xml:space="preserve">re </w:t>
      </w:r>
      <w:r w:rsidR="002A4449" w:rsidRPr="00DE703D">
        <w:rPr>
          <w:rFonts w:cstheme="minorHAnsi"/>
        </w:rPr>
        <w:t>prisons</w:t>
      </w:r>
      <w:r w:rsidR="00D65CB1" w:rsidRPr="00DE703D">
        <w:rPr>
          <w:rFonts w:cstheme="minorHAnsi"/>
        </w:rPr>
        <w:t xml:space="preserve"> with high uptake rates</w:t>
      </w:r>
      <w:r w:rsidR="002F3B75" w:rsidRPr="00DE703D">
        <w:rPr>
          <w:rFonts w:cstheme="minorHAnsi"/>
        </w:rPr>
        <w:t>.</w:t>
      </w:r>
      <w:r w:rsidR="006D5A61" w:rsidRPr="00DE703D">
        <w:rPr>
          <w:rFonts w:cstheme="minorHAnsi"/>
        </w:rPr>
        <w:t xml:space="preserve"> </w:t>
      </w:r>
      <w:r w:rsidR="002F3B75" w:rsidRPr="00DE703D">
        <w:rPr>
          <w:rFonts w:cstheme="minorHAnsi"/>
        </w:rPr>
        <w:t>T</w:t>
      </w:r>
      <w:r w:rsidR="006D5A61" w:rsidRPr="00DE703D">
        <w:rPr>
          <w:rFonts w:cstheme="minorHAnsi"/>
        </w:rPr>
        <w:t xml:space="preserve">hese </w:t>
      </w:r>
      <w:r w:rsidR="00C95F87" w:rsidRPr="00DE703D">
        <w:rPr>
          <w:rFonts w:cstheme="minorHAnsi"/>
        </w:rPr>
        <w:t>include</w:t>
      </w:r>
      <w:r w:rsidR="006D5A61" w:rsidRPr="00DE703D">
        <w:rPr>
          <w:rFonts w:cstheme="minorHAnsi"/>
        </w:rPr>
        <w:t xml:space="preserve"> Ashfield</w:t>
      </w:r>
      <w:r w:rsidR="008223AD" w:rsidRPr="00DE703D">
        <w:rPr>
          <w:rFonts w:cstheme="minorHAnsi"/>
        </w:rPr>
        <w:t>,</w:t>
      </w:r>
      <w:r w:rsidR="006D5A61" w:rsidRPr="00DE703D">
        <w:rPr>
          <w:rFonts w:cstheme="minorHAnsi"/>
        </w:rPr>
        <w:t xml:space="preserve"> Thameside</w:t>
      </w:r>
      <w:r w:rsidR="008223AD" w:rsidRPr="00DE703D">
        <w:rPr>
          <w:rFonts w:cstheme="minorHAnsi"/>
        </w:rPr>
        <w:t xml:space="preserve"> and Lowdham Grange</w:t>
      </w:r>
      <w:r w:rsidR="006D5A61" w:rsidRPr="00DE703D">
        <w:rPr>
          <w:rFonts w:cstheme="minorHAnsi"/>
        </w:rPr>
        <w:t xml:space="preserve">. </w:t>
      </w:r>
      <w:r w:rsidR="003C721E" w:rsidRPr="00DE703D">
        <w:rPr>
          <w:rFonts w:cstheme="minorHAnsi"/>
        </w:rPr>
        <w:t xml:space="preserve">The following information </w:t>
      </w:r>
      <w:r w:rsidR="00054486" w:rsidRPr="00DE703D">
        <w:rPr>
          <w:rFonts w:cstheme="minorHAnsi"/>
        </w:rPr>
        <w:t>in re</w:t>
      </w:r>
      <w:r w:rsidR="002358CB" w:rsidRPr="00DE703D">
        <w:rPr>
          <w:rFonts w:cstheme="minorHAnsi"/>
        </w:rPr>
        <w:t>lation</w:t>
      </w:r>
      <w:r w:rsidR="00054486" w:rsidRPr="00DE703D">
        <w:rPr>
          <w:rFonts w:cstheme="minorHAnsi"/>
        </w:rPr>
        <w:t xml:space="preserve"> to vaccine hesitancy </w:t>
      </w:r>
      <w:r w:rsidR="003C721E" w:rsidRPr="00DE703D">
        <w:rPr>
          <w:rFonts w:cstheme="minorHAnsi"/>
        </w:rPr>
        <w:t>has been provided by the</w:t>
      </w:r>
      <w:r w:rsidR="00054486" w:rsidRPr="00DE703D">
        <w:rPr>
          <w:rFonts w:cstheme="minorHAnsi"/>
        </w:rPr>
        <w:t>se</w:t>
      </w:r>
      <w:r w:rsidR="003C721E" w:rsidRPr="00DE703D">
        <w:rPr>
          <w:rFonts w:cstheme="minorHAnsi"/>
        </w:rPr>
        <w:t xml:space="preserve"> sites</w:t>
      </w:r>
      <w:r w:rsidR="00DE703D">
        <w:rPr>
          <w:rFonts w:cstheme="minorHAnsi"/>
        </w:rPr>
        <w:t>:</w:t>
      </w:r>
    </w:p>
    <w:p w14:paraId="5A23F37C" w14:textId="77777777" w:rsidR="00DE703D" w:rsidRPr="00DE703D" w:rsidRDefault="00DE703D" w:rsidP="00DE703D">
      <w:pPr>
        <w:pStyle w:val="ListParagraph"/>
        <w:rPr>
          <w:rFonts w:cstheme="minorHAnsi"/>
        </w:rPr>
      </w:pPr>
    </w:p>
    <w:p w14:paraId="166033A5" w14:textId="5421FDF8" w:rsidR="001E309B" w:rsidRPr="00B67AAE" w:rsidRDefault="009E2E6A" w:rsidP="00DE703D">
      <w:pPr>
        <w:pStyle w:val="ListParagraph"/>
        <w:numPr>
          <w:ilvl w:val="0"/>
          <w:numId w:val="27"/>
        </w:numPr>
        <w:ind w:left="284" w:hanging="284"/>
        <w:rPr>
          <w:rFonts w:cstheme="minorHAnsi"/>
        </w:rPr>
      </w:pPr>
      <w:r>
        <w:rPr>
          <w:rFonts w:cstheme="minorHAnsi"/>
        </w:rPr>
        <w:t xml:space="preserve">HMP </w:t>
      </w:r>
      <w:r w:rsidR="000D1758" w:rsidRPr="00B67AAE">
        <w:rPr>
          <w:rFonts w:cstheme="minorHAnsi"/>
        </w:rPr>
        <w:t>Ashfield houses prisoners convicted of sexual offences and have an older, largely static population, factors noted as having contributed to higher uptake rates in Public Sector Prisons. However, Ashfield have cited a proactive healthcare provider assisting with their uptake rates, with a healthcare services promotion day held at the prison and follow up conversations had one to one with all those who express</w:t>
      </w:r>
      <w:r>
        <w:rPr>
          <w:rFonts w:cstheme="minorHAnsi"/>
        </w:rPr>
        <w:t>ed</w:t>
      </w:r>
      <w:r w:rsidR="000D1758" w:rsidRPr="00B67AAE">
        <w:rPr>
          <w:rFonts w:cstheme="minorHAnsi"/>
        </w:rPr>
        <w:t xml:space="preserve"> hesitancy.</w:t>
      </w:r>
    </w:p>
    <w:p w14:paraId="10CFD3CD" w14:textId="77777777" w:rsidR="001E309B" w:rsidRPr="00B67AAE" w:rsidRDefault="00A074D5" w:rsidP="00DE703D">
      <w:pPr>
        <w:pStyle w:val="ListParagraph"/>
        <w:numPr>
          <w:ilvl w:val="0"/>
          <w:numId w:val="27"/>
        </w:numPr>
        <w:ind w:left="284" w:hanging="284"/>
        <w:rPr>
          <w:rFonts w:cstheme="minorHAnsi"/>
        </w:rPr>
      </w:pPr>
      <w:r w:rsidRPr="00B67AAE">
        <w:rPr>
          <w:rFonts w:cstheme="minorHAnsi"/>
        </w:rPr>
        <w:lastRenderedPageBreak/>
        <w:t xml:space="preserve">HMP </w:t>
      </w:r>
      <w:r w:rsidR="00344DE1" w:rsidRPr="00B67AAE">
        <w:rPr>
          <w:rFonts w:cstheme="minorHAnsi"/>
        </w:rPr>
        <w:t xml:space="preserve">Thameside </w:t>
      </w:r>
      <w:r w:rsidRPr="00B67AAE">
        <w:rPr>
          <w:rFonts w:cstheme="minorHAnsi"/>
        </w:rPr>
        <w:t xml:space="preserve">have </w:t>
      </w:r>
      <w:r w:rsidR="00344DE1" w:rsidRPr="00B67AAE">
        <w:rPr>
          <w:rFonts w:cstheme="minorHAnsi"/>
        </w:rPr>
        <w:t xml:space="preserve">stated their vaccination rollout </w:t>
      </w:r>
      <w:r w:rsidRPr="00B67AAE">
        <w:rPr>
          <w:rFonts w:cstheme="minorHAnsi"/>
        </w:rPr>
        <w:t>i</w:t>
      </w:r>
      <w:r w:rsidR="00344DE1" w:rsidRPr="00B67AAE">
        <w:rPr>
          <w:rFonts w:cstheme="minorHAnsi"/>
        </w:rPr>
        <w:t xml:space="preserve">s a traditional </w:t>
      </w:r>
      <w:r w:rsidR="007C4830" w:rsidRPr="00B67AAE">
        <w:rPr>
          <w:rFonts w:cstheme="minorHAnsi"/>
        </w:rPr>
        <w:t xml:space="preserve">clinic lead </w:t>
      </w:r>
      <w:r w:rsidR="00344DE1" w:rsidRPr="00B67AAE">
        <w:rPr>
          <w:rFonts w:cstheme="minorHAnsi"/>
        </w:rPr>
        <w:t>programme and that they ha</w:t>
      </w:r>
      <w:r w:rsidRPr="00B67AAE">
        <w:rPr>
          <w:rFonts w:cstheme="minorHAnsi"/>
        </w:rPr>
        <w:t>ve</w:t>
      </w:r>
      <w:r w:rsidR="00344DE1" w:rsidRPr="00B67AAE">
        <w:rPr>
          <w:rFonts w:cstheme="minorHAnsi"/>
        </w:rPr>
        <w:t xml:space="preserve"> perhaps been ‘lucky’ with their residents</w:t>
      </w:r>
      <w:r w:rsidR="005C08C8" w:rsidRPr="00B67AAE">
        <w:rPr>
          <w:rFonts w:cstheme="minorHAnsi"/>
        </w:rPr>
        <w:t xml:space="preserve">. </w:t>
      </w:r>
      <w:r w:rsidR="00E24388" w:rsidRPr="00B67AAE">
        <w:rPr>
          <w:rFonts w:cstheme="minorHAnsi"/>
        </w:rPr>
        <w:t>They also cite having a 90% BAME Healthcare staff population</w:t>
      </w:r>
      <w:r w:rsidR="004906DC" w:rsidRPr="00B67AAE">
        <w:rPr>
          <w:rFonts w:cstheme="minorHAnsi"/>
        </w:rPr>
        <w:t>. This is important due to Thameside having the</w:t>
      </w:r>
      <w:r w:rsidR="001B61CE" w:rsidRPr="00B67AAE">
        <w:rPr>
          <w:rFonts w:cstheme="minorHAnsi"/>
        </w:rPr>
        <w:t xml:space="preserve"> third</w:t>
      </w:r>
      <w:r w:rsidR="004906DC" w:rsidRPr="00B67AAE">
        <w:rPr>
          <w:rFonts w:cstheme="minorHAnsi"/>
        </w:rPr>
        <w:t xml:space="preserve"> highest BAME</w:t>
      </w:r>
      <w:r w:rsidR="00C46FBE" w:rsidRPr="00B67AAE">
        <w:rPr>
          <w:rFonts w:cstheme="minorHAnsi"/>
        </w:rPr>
        <w:t xml:space="preserve"> prisoner</w:t>
      </w:r>
      <w:r w:rsidR="004906DC" w:rsidRPr="00B67AAE">
        <w:rPr>
          <w:rFonts w:cstheme="minorHAnsi"/>
        </w:rPr>
        <w:t xml:space="preserve"> population</w:t>
      </w:r>
      <w:r w:rsidR="00C46FBE" w:rsidRPr="00B67AAE">
        <w:rPr>
          <w:rFonts w:cstheme="minorHAnsi"/>
        </w:rPr>
        <w:t>.</w:t>
      </w:r>
      <w:r w:rsidR="004906DC" w:rsidRPr="00B67AAE">
        <w:rPr>
          <w:rFonts w:cstheme="minorHAnsi"/>
        </w:rPr>
        <w:t xml:space="preserve"> P</w:t>
      </w:r>
      <w:r w:rsidR="00C46FBE" w:rsidRPr="00B67AAE">
        <w:rPr>
          <w:rFonts w:cstheme="minorHAnsi"/>
        </w:rPr>
        <w:t>ositive p</w:t>
      </w:r>
      <w:r w:rsidR="004906DC" w:rsidRPr="00B67AAE">
        <w:rPr>
          <w:rFonts w:cstheme="minorHAnsi"/>
        </w:rPr>
        <w:t xml:space="preserve">eer influence </w:t>
      </w:r>
      <w:r w:rsidR="00431C3B" w:rsidRPr="00B67AAE">
        <w:rPr>
          <w:rFonts w:cstheme="minorHAnsi"/>
        </w:rPr>
        <w:t>is seen as central in influenc</w:t>
      </w:r>
      <w:r w:rsidR="006A08CB" w:rsidRPr="00B67AAE">
        <w:rPr>
          <w:rFonts w:cstheme="minorHAnsi"/>
        </w:rPr>
        <w:t>ing</w:t>
      </w:r>
      <w:r w:rsidR="00431C3B" w:rsidRPr="00B67AAE">
        <w:rPr>
          <w:rFonts w:cstheme="minorHAnsi"/>
        </w:rPr>
        <w:t xml:space="preserve"> vaccination </w:t>
      </w:r>
      <w:r w:rsidR="003F10A9" w:rsidRPr="00B67AAE">
        <w:rPr>
          <w:rFonts w:cstheme="minorHAnsi"/>
        </w:rPr>
        <w:t xml:space="preserve">decisions within research and may go </w:t>
      </w:r>
      <w:r w:rsidR="00196325" w:rsidRPr="00B67AAE">
        <w:rPr>
          <w:rFonts w:cstheme="minorHAnsi"/>
        </w:rPr>
        <w:t>some way</w:t>
      </w:r>
      <w:r w:rsidR="003F10A9" w:rsidRPr="00B67AAE">
        <w:rPr>
          <w:rFonts w:cstheme="minorHAnsi"/>
        </w:rPr>
        <w:t xml:space="preserve"> to explaining </w:t>
      </w:r>
      <w:r w:rsidR="005B0BEE" w:rsidRPr="00B67AAE">
        <w:rPr>
          <w:rFonts w:cstheme="minorHAnsi"/>
        </w:rPr>
        <w:t>their</w:t>
      </w:r>
      <w:r w:rsidR="003F10A9" w:rsidRPr="00B67AAE">
        <w:rPr>
          <w:rFonts w:cstheme="minorHAnsi"/>
        </w:rPr>
        <w:t xml:space="preserve"> high uptake.</w:t>
      </w:r>
    </w:p>
    <w:p w14:paraId="6D235BB6" w14:textId="77777777" w:rsidR="00DE703D" w:rsidRPr="00DE703D" w:rsidRDefault="00DE703D" w:rsidP="00DE703D">
      <w:pPr>
        <w:pStyle w:val="ListParagraph"/>
        <w:rPr>
          <w:rFonts w:cstheme="minorHAnsi"/>
        </w:rPr>
      </w:pPr>
    </w:p>
    <w:p w14:paraId="02CF7E0D" w14:textId="77777777" w:rsidR="00DE703D" w:rsidRPr="00B67AAE" w:rsidRDefault="00DE703D" w:rsidP="00DE703D">
      <w:pPr>
        <w:pStyle w:val="ListParagraph"/>
        <w:rPr>
          <w:rFonts w:cstheme="minorHAnsi"/>
        </w:rPr>
      </w:pPr>
    </w:p>
    <w:p w14:paraId="3DF1447B" w14:textId="7F6B9CA7" w:rsidR="00AA05A9" w:rsidRPr="00DE703D" w:rsidRDefault="009E2E6A" w:rsidP="00DE703D">
      <w:pPr>
        <w:pStyle w:val="ListParagraph"/>
        <w:numPr>
          <w:ilvl w:val="1"/>
          <w:numId w:val="32"/>
        </w:numPr>
        <w:ind w:left="0"/>
        <w:rPr>
          <w:rFonts w:cstheme="minorHAnsi"/>
        </w:rPr>
      </w:pPr>
      <w:r>
        <w:rPr>
          <w:rFonts w:cstheme="minorHAnsi"/>
        </w:rPr>
        <w:t>I</w:t>
      </w:r>
      <w:r w:rsidR="00AA05A9" w:rsidRPr="00DE703D">
        <w:rPr>
          <w:rFonts w:cstheme="minorHAnsi"/>
        </w:rPr>
        <w:t>t is possible that a prison</w:t>
      </w:r>
      <w:r>
        <w:rPr>
          <w:rFonts w:cstheme="minorHAnsi"/>
        </w:rPr>
        <w:t>’</w:t>
      </w:r>
      <w:r w:rsidR="00AA05A9" w:rsidRPr="00DE703D">
        <w:rPr>
          <w:rFonts w:cstheme="minorHAnsi"/>
        </w:rPr>
        <w:t xml:space="preserve">s approach to the vaccine programme can impact on </w:t>
      </w:r>
      <w:r>
        <w:rPr>
          <w:rFonts w:cstheme="minorHAnsi"/>
        </w:rPr>
        <w:t>the</w:t>
      </w:r>
      <w:r w:rsidR="00AA05A9" w:rsidRPr="00DE703D">
        <w:rPr>
          <w:rFonts w:cstheme="minorHAnsi"/>
        </w:rPr>
        <w:t xml:space="preserve"> uptake rate regardless of function, age</w:t>
      </w:r>
      <w:r w:rsidR="001C62DF">
        <w:rPr>
          <w:rFonts w:cstheme="minorHAnsi"/>
        </w:rPr>
        <w:t>,</w:t>
      </w:r>
      <w:r w:rsidR="00AA05A9" w:rsidRPr="00DE703D">
        <w:rPr>
          <w:rFonts w:cstheme="minorHAnsi"/>
        </w:rPr>
        <w:t xml:space="preserve"> or ethnicity breakdown. HMP Buckley Hall, whilst an Adult Category C prison and so not a function of concern as such, has a breakdown showing 62% of its population are aged 18-39. Despite having large numbers of younger adults within cohort 6, Buckley Hall have seen a lower decline rate than other prisons with similar age findings. When talking to the prison and their local healthcare provider, a very proactive approach </w:t>
      </w:r>
      <w:r w:rsidR="001C62DF">
        <w:rPr>
          <w:rFonts w:cstheme="minorHAnsi"/>
        </w:rPr>
        <w:t xml:space="preserve">was identified </w:t>
      </w:r>
      <w:r w:rsidR="00AA05A9" w:rsidRPr="00DE703D">
        <w:rPr>
          <w:rFonts w:cstheme="minorHAnsi"/>
        </w:rPr>
        <w:t>that covered the following points:</w:t>
      </w:r>
    </w:p>
    <w:p w14:paraId="693A81F6" w14:textId="77777777" w:rsidR="00DE703D" w:rsidRPr="00DE703D" w:rsidRDefault="00DE703D" w:rsidP="00DE703D">
      <w:pPr>
        <w:pStyle w:val="ListParagraph"/>
        <w:rPr>
          <w:rFonts w:cstheme="minorHAnsi"/>
        </w:rPr>
      </w:pPr>
    </w:p>
    <w:p w14:paraId="6BDCF2EE" w14:textId="77777777" w:rsidR="00AA05A9" w:rsidRPr="00B67AAE" w:rsidRDefault="00AA05A9" w:rsidP="00DE703D">
      <w:pPr>
        <w:pStyle w:val="ListParagraph"/>
        <w:numPr>
          <w:ilvl w:val="0"/>
          <w:numId w:val="22"/>
        </w:numPr>
        <w:ind w:left="284" w:hanging="284"/>
        <w:rPr>
          <w:rFonts w:cstheme="minorHAnsi"/>
        </w:rPr>
      </w:pPr>
      <w:r w:rsidRPr="00B67AAE">
        <w:rPr>
          <w:rFonts w:cstheme="minorHAnsi"/>
        </w:rPr>
        <w:t>Providing information and one to one sessions to discuss hesitancy prior to offering prisoners the vaccine.</w:t>
      </w:r>
    </w:p>
    <w:p w14:paraId="166082E8" w14:textId="77777777" w:rsidR="00AA05A9" w:rsidRPr="00B67AAE" w:rsidRDefault="00AA05A9" w:rsidP="00DE703D">
      <w:pPr>
        <w:pStyle w:val="ListParagraph"/>
        <w:numPr>
          <w:ilvl w:val="0"/>
          <w:numId w:val="22"/>
        </w:numPr>
        <w:ind w:left="284" w:hanging="284"/>
        <w:rPr>
          <w:rFonts w:cstheme="minorHAnsi"/>
        </w:rPr>
      </w:pPr>
      <w:r w:rsidRPr="00B67AAE">
        <w:rPr>
          <w:rFonts w:cstheme="minorHAnsi"/>
        </w:rPr>
        <w:t>Providing a friendly, welcoming and relaxed vaccination space, which they feel has reassured prisoners and promoted the service.</w:t>
      </w:r>
    </w:p>
    <w:p w14:paraId="0F8ACE3C" w14:textId="7B14DBE2" w:rsidR="00AA05A9" w:rsidRPr="00B67AAE" w:rsidRDefault="00975CFD" w:rsidP="00DE703D">
      <w:pPr>
        <w:pStyle w:val="ListParagraph"/>
        <w:numPr>
          <w:ilvl w:val="0"/>
          <w:numId w:val="22"/>
        </w:numPr>
        <w:ind w:left="284" w:hanging="284"/>
        <w:rPr>
          <w:rFonts w:cstheme="minorHAnsi"/>
        </w:rPr>
      </w:pPr>
      <w:r>
        <w:rPr>
          <w:rFonts w:cstheme="minorHAnsi"/>
        </w:rPr>
        <w:t>Healthcare spending</w:t>
      </w:r>
      <w:r w:rsidR="00AA05A9" w:rsidRPr="00B67AAE">
        <w:rPr>
          <w:rFonts w:cstheme="minorHAnsi"/>
        </w:rPr>
        <w:t xml:space="preserve"> a lot of time on the wings over the last year, </w:t>
      </w:r>
      <w:r>
        <w:rPr>
          <w:rFonts w:cstheme="minorHAnsi"/>
        </w:rPr>
        <w:t>building</w:t>
      </w:r>
      <w:r w:rsidR="00AA05A9" w:rsidRPr="00B67AAE">
        <w:rPr>
          <w:rFonts w:cstheme="minorHAnsi"/>
        </w:rPr>
        <w:t xml:space="preserve"> very good relationships with the majority of prisoners and overcom</w:t>
      </w:r>
      <w:r>
        <w:rPr>
          <w:rFonts w:cstheme="minorHAnsi"/>
        </w:rPr>
        <w:t xml:space="preserve">ing </w:t>
      </w:r>
      <w:r w:rsidR="00AA05A9" w:rsidRPr="00B67AAE">
        <w:rPr>
          <w:rFonts w:cstheme="minorHAnsi"/>
        </w:rPr>
        <w:t xml:space="preserve">issues of mistrust. </w:t>
      </w:r>
    </w:p>
    <w:p w14:paraId="5B168001" w14:textId="6A445AA5" w:rsidR="00AA05A9" w:rsidRPr="00B67AAE" w:rsidRDefault="00AA05A9" w:rsidP="00DE703D">
      <w:pPr>
        <w:pStyle w:val="ListParagraph"/>
        <w:numPr>
          <w:ilvl w:val="0"/>
          <w:numId w:val="22"/>
        </w:numPr>
        <w:ind w:left="284" w:hanging="284"/>
        <w:rPr>
          <w:rFonts w:cstheme="minorHAnsi"/>
        </w:rPr>
      </w:pPr>
      <w:r w:rsidRPr="00B67AAE">
        <w:rPr>
          <w:rFonts w:cstheme="minorHAnsi"/>
        </w:rPr>
        <w:t>Hav</w:t>
      </w:r>
      <w:r w:rsidR="00975CFD">
        <w:rPr>
          <w:rFonts w:cstheme="minorHAnsi"/>
        </w:rPr>
        <w:t>ing</w:t>
      </w:r>
      <w:r w:rsidRPr="00B67AAE">
        <w:rPr>
          <w:rFonts w:cstheme="minorHAnsi"/>
        </w:rPr>
        <w:t xml:space="preserve"> promoted the benefits of having the vaccine and how it is integral to moving forward and returning to ‘normality’.</w:t>
      </w:r>
    </w:p>
    <w:p w14:paraId="5033578B" w14:textId="77777777" w:rsidR="008F5FD2" w:rsidRDefault="008F5FD2" w:rsidP="005025C7">
      <w:pPr>
        <w:rPr>
          <w:rFonts w:cstheme="minorHAnsi"/>
          <w:b/>
          <w:bCs/>
          <w:sz w:val="24"/>
          <w:szCs w:val="24"/>
          <w:u w:val="single"/>
        </w:rPr>
      </w:pPr>
    </w:p>
    <w:p w14:paraId="6A9FC59D" w14:textId="77777777" w:rsidR="00DE703D" w:rsidRDefault="00DE703D">
      <w:pPr>
        <w:rPr>
          <w:rFonts w:cstheme="minorHAnsi"/>
          <w:color w:val="000000" w:themeColor="text1"/>
          <w:sz w:val="32"/>
          <w:szCs w:val="32"/>
        </w:rPr>
      </w:pPr>
      <w:r>
        <w:rPr>
          <w:rFonts w:cstheme="minorHAnsi"/>
          <w:color w:val="000000" w:themeColor="text1"/>
          <w:sz w:val="32"/>
          <w:szCs w:val="32"/>
        </w:rPr>
        <w:br w:type="page"/>
      </w:r>
    </w:p>
    <w:p w14:paraId="3E5DFDCB" w14:textId="3EC27DFD" w:rsidR="008F5FD2" w:rsidRPr="00DE703D" w:rsidRDefault="008F5FD2" w:rsidP="00DE703D">
      <w:pPr>
        <w:pStyle w:val="ListParagraph"/>
        <w:numPr>
          <w:ilvl w:val="0"/>
          <w:numId w:val="32"/>
        </w:numPr>
        <w:ind w:left="0"/>
        <w:rPr>
          <w:rFonts w:cstheme="minorHAnsi"/>
          <w:b/>
          <w:bCs/>
          <w:color w:val="000000" w:themeColor="text1"/>
          <w:sz w:val="24"/>
          <w:szCs w:val="24"/>
          <w:u w:val="single"/>
        </w:rPr>
      </w:pPr>
      <w:bookmarkStart w:id="6" w:name="Age"/>
      <w:r w:rsidRPr="00DE703D">
        <w:rPr>
          <w:rFonts w:cstheme="minorHAnsi"/>
          <w:b/>
          <w:bCs/>
          <w:color w:val="000000" w:themeColor="text1"/>
          <w:sz w:val="24"/>
          <w:szCs w:val="24"/>
          <w:u w:val="single"/>
        </w:rPr>
        <w:lastRenderedPageBreak/>
        <w:t>Age</w:t>
      </w:r>
      <w:r w:rsidR="00E845DF" w:rsidRPr="00DE703D">
        <w:rPr>
          <w:rFonts w:cstheme="minorHAnsi"/>
          <w:b/>
          <w:bCs/>
          <w:color w:val="000000" w:themeColor="text1"/>
          <w:sz w:val="24"/>
          <w:szCs w:val="24"/>
          <w:u w:val="single"/>
        </w:rPr>
        <w:t xml:space="preserve"> and </w:t>
      </w:r>
      <w:r w:rsidR="007C4830" w:rsidRPr="00DE703D">
        <w:rPr>
          <w:rFonts w:cstheme="minorHAnsi"/>
          <w:b/>
          <w:bCs/>
          <w:color w:val="000000" w:themeColor="text1"/>
          <w:sz w:val="24"/>
          <w:szCs w:val="24"/>
          <w:u w:val="single"/>
        </w:rPr>
        <w:t>Gender</w:t>
      </w:r>
    </w:p>
    <w:bookmarkEnd w:id="6"/>
    <w:p w14:paraId="5A241ABC" w14:textId="77777777" w:rsidR="00DE703D" w:rsidRDefault="00DE703D" w:rsidP="005025C7">
      <w:pPr>
        <w:rPr>
          <w:rFonts w:cstheme="minorHAnsi"/>
        </w:rPr>
      </w:pPr>
    </w:p>
    <w:p w14:paraId="78FF79E5" w14:textId="14048521" w:rsidR="005025C7" w:rsidRDefault="005025C7" w:rsidP="00DE703D">
      <w:pPr>
        <w:pStyle w:val="ListParagraph"/>
        <w:numPr>
          <w:ilvl w:val="1"/>
          <w:numId w:val="32"/>
        </w:numPr>
        <w:ind w:left="0"/>
        <w:rPr>
          <w:rFonts w:cstheme="minorHAnsi"/>
        </w:rPr>
      </w:pPr>
      <w:r w:rsidRPr="00DE703D">
        <w:rPr>
          <w:rFonts w:cstheme="minorHAnsi"/>
        </w:rPr>
        <w:t>When looking at community vaccine uptake those age</w:t>
      </w:r>
      <w:r w:rsidR="009D22A1" w:rsidRPr="00DE703D">
        <w:rPr>
          <w:rFonts w:cstheme="minorHAnsi"/>
        </w:rPr>
        <w:t>d</w:t>
      </w:r>
      <w:r w:rsidRPr="00DE703D">
        <w:rPr>
          <w:rFonts w:cstheme="minorHAnsi"/>
        </w:rPr>
        <w:t xml:space="preserve"> 16 to 29 are most likely to decline the vaccine, based on a study by the Office </w:t>
      </w:r>
      <w:r w:rsidR="00902C87" w:rsidRPr="00DE703D">
        <w:rPr>
          <w:rFonts w:cstheme="minorHAnsi"/>
        </w:rPr>
        <w:t>for</w:t>
      </w:r>
      <w:r w:rsidRPr="00DE703D">
        <w:rPr>
          <w:rFonts w:cstheme="minorHAnsi"/>
        </w:rPr>
        <w:t xml:space="preserve"> National Statistics (ONS) </w:t>
      </w:r>
      <w:r w:rsidR="005B5ECC" w:rsidRPr="00DE703D">
        <w:rPr>
          <w:rFonts w:cstheme="minorHAnsi"/>
        </w:rPr>
        <w:t>into</w:t>
      </w:r>
      <w:r w:rsidRPr="00DE703D">
        <w:rPr>
          <w:rFonts w:cstheme="minorHAnsi"/>
        </w:rPr>
        <w:t xml:space="preserve"> vaccine hesitancy</w:t>
      </w:r>
      <w:r w:rsidR="005B5ECC" w:rsidRPr="00DE703D">
        <w:rPr>
          <w:rFonts w:cstheme="minorHAnsi"/>
        </w:rPr>
        <w:t>.</w:t>
      </w:r>
      <w:r w:rsidRPr="00DE703D">
        <w:rPr>
          <w:rFonts w:cstheme="minorHAnsi"/>
        </w:rPr>
        <w:t xml:space="preserve"> Here the decline rate </w:t>
      </w:r>
      <w:r w:rsidR="00CC2FA3">
        <w:rPr>
          <w:rFonts w:cstheme="minorHAnsi"/>
        </w:rPr>
        <w:t xml:space="preserve">is </w:t>
      </w:r>
      <w:r w:rsidR="00D41F5C" w:rsidRPr="00DE703D">
        <w:rPr>
          <w:rFonts w:cstheme="minorHAnsi"/>
        </w:rPr>
        <w:t xml:space="preserve">estimated </w:t>
      </w:r>
      <w:r w:rsidRPr="00DE703D">
        <w:rPr>
          <w:rFonts w:cstheme="minorHAnsi"/>
        </w:rPr>
        <w:t>at 10</w:t>
      </w:r>
      <w:r w:rsidR="001C62DF">
        <w:rPr>
          <w:rFonts w:cstheme="minorHAnsi"/>
        </w:rPr>
        <w:t>-14</w:t>
      </w:r>
      <w:r w:rsidRPr="00DE703D">
        <w:rPr>
          <w:rFonts w:cstheme="minorHAnsi"/>
        </w:rPr>
        <w:t xml:space="preserve">% </w:t>
      </w:r>
      <w:r w:rsidR="00975CFD">
        <w:rPr>
          <w:rFonts w:cstheme="minorHAnsi"/>
        </w:rPr>
        <w:t>for</w:t>
      </w:r>
      <w:r w:rsidR="001C62DF">
        <w:rPr>
          <w:rFonts w:cstheme="minorHAnsi"/>
        </w:rPr>
        <w:t xml:space="preserve"> those</w:t>
      </w:r>
      <w:r w:rsidR="00975CFD">
        <w:rPr>
          <w:rFonts w:cstheme="minorHAnsi"/>
        </w:rPr>
        <w:t xml:space="preserve"> aged 16 to 29 </w:t>
      </w:r>
      <w:r w:rsidRPr="00DE703D">
        <w:rPr>
          <w:rFonts w:cstheme="minorHAnsi"/>
        </w:rPr>
        <w:t>compared to those aged 70 and over who ha</w:t>
      </w:r>
      <w:r w:rsidR="00D41F5C" w:rsidRPr="00DE703D">
        <w:rPr>
          <w:rFonts w:cstheme="minorHAnsi"/>
        </w:rPr>
        <w:t>ve indicated only</w:t>
      </w:r>
      <w:r w:rsidRPr="00DE703D">
        <w:rPr>
          <w:rFonts w:cstheme="minorHAnsi"/>
        </w:rPr>
        <w:t xml:space="preserve"> a 1% decline rate. This is in line with </w:t>
      </w:r>
      <w:r w:rsidR="005B5ECC" w:rsidRPr="00DE703D">
        <w:rPr>
          <w:rFonts w:cstheme="minorHAnsi"/>
        </w:rPr>
        <w:t>Male</w:t>
      </w:r>
      <w:r w:rsidRPr="00DE703D">
        <w:rPr>
          <w:rFonts w:cstheme="minorHAnsi"/>
        </w:rPr>
        <w:t xml:space="preserve"> YOI prisons</w:t>
      </w:r>
      <w:r w:rsidR="00D41F5C" w:rsidRPr="00DE703D">
        <w:rPr>
          <w:rFonts w:cstheme="minorHAnsi"/>
        </w:rPr>
        <w:t>,</w:t>
      </w:r>
      <w:r w:rsidRPr="00DE703D">
        <w:rPr>
          <w:rFonts w:cstheme="minorHAnsi"/>
        </w:rPr>
        <w:t xml:space="preserve"> who </w:t>
      </w:r>
      <w:r w:rsidR="00A074D5" w:rsidRPr="00DE703D">
        <w:rPr>
          <w:rFonts w:cstheme="minorHAnsi"/>
        </w:rPr>
        <w:t>average</w:t>
      </w:r>
      <w:r w:rsidR="005B5ECC" w:rsidRPr="00DE703D">
        <w:rPr>
          <w:rFonts w:cstheme="minorHAnsi"/>
        </w:rPr>
        <w:t xml:space="preserve"> 34% decline rate</w:t>
      </w:r>
      <w:r w:rsidRPr="00DE703D">
        <w:rPr>
          <w:rFonts w:cstheme="minorHAnsi"/>
        </w:rPr>
        <w:t xml:space="preserve">. </w:t>
      </w:r>
    </w:p>
    <w:p w14:paraId="03E3CE60" w14:textId="77777777" w:rsidR="00DE703D" w:rsidRPr="00DE703D" w:rsidRDefault="00DE703D" w:rsidP="00DE703D">
      <w:pPr>
        <w:pStyle w:val="ListParagraph"/>
        <w:ind w:left="0"/>
        <w:rPr>
          <w:rFonts w:cstheme="minorHAnsi"/>
        </w:rPr>
      </w:pPr>
    </w:p>
    <w:p w14:paraId="7BF44531" w14:textId="2971DFBF" w:rsidR="005025C7" w:rsidRPr="00DE703D" w:rsidRDefault="00DE703D" w:rsidP="00DE703D">
      <w:pPr>
        <w:pStyle w:val="ListParagraph"/>
        <w:numPr>
          <w:ilvl w:val="1"/>
          <w:numId w:val="32"/>
        </w:numPr>
        <w:ind w:left="0"/>
        <w:rPr>
          <w:rFonts w:cstheme="minorHAnsi"/>
        </w:rPr>
      </w:pPr>
      <w:r w:rsidRPr="00B67AAE">
        <w:rPr>
          <w:rFonts w:cstheme="minorHAnsi"/>
          <w:noProof/>
        </w:rPr>
        <w:drawing>
          <wp:anchor distT="0" distB="0" distL="114300" distR="114300" simplePos="0" relativeHeight="251658247" behindDoc="1" locked="0" layoutInCell="1" allowOverlap="1" wp14:anchorId="7E3DE81D" wp14:editId="475B58D3">
            <wp:simplePos x="0" y="0"/>
            <wp:positionH relativeFrom="margin">
              <wp:posOffset>-325120</wp:posOffset>
            </wp:positionH>
            <wp:positionV relativeFrom="paragraph">
              <wp:posOffset>1104265</wp:posOffset>
            </wp:positionV>
            <wp:extent cx="6379845" cy="2581910"/>
            <wp:effectExtent l="0" t="0" r="1905"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36648" r="23227" b="13524"/>
                    <a:stretch/>
                  </pic:blipFill>
                  <pic:spPr bwMode="auto">
                    <a:xfrm>
                      <a:off x="0" y="0"/>
                      <a:ext cx="6379845" cy="258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5C7" w:rsidRPr="00DE703D">
        <w:rPr>
          <w:rFonts w:cstheme="minorHAnsi"/>
        </w:rPr>
        <w:t xml:space="preserve">The </w:t>
      </w:r>
      <w:r w:rsidR="00667080" w:rsidRPr="00DE703D">
        <w:rPr>
          <w:rFonts w:cstheme="minorHAnsi"/>
        </w:rPr>
        <w:t>c</w:t>
      </w:r>
      <w:r w:rsidR="005025C7" w:rsidRPr="00DE703D">
        <w:rPr>
          <w:rFonts w:cstheme="minorHAnsi"/>
        </w:rPr>
        <w:t xml:space="preserve">aveat to this is when </w:t>
      </w:r>
      <w:r w:rsidR="00CC2FA3">
        <w:rPr>
          <w:rFonts w:cstheme="minorHAnsi"/>
        </w:rPr>
        <w:t>age is broken down further</w:t>
      </w:r>
      <w:r w:rsidR="005025C7" w:rsidRPr="00DE703D">
        <w:rPr>
          <w:rFonts w:cstheme="minorHAnsi"/>
        </w:rPr>
        <w:t xml:space="preserve"> and the aspect of gender</w:t>
      </w:r>
      <w:r w:rsidR="005B5ECC" w:rsidRPr="00DE703D">
        <w:rPr>
          <w:rFonts w:cstheme="minorHAnsi"/>
        </w:rPr>
        <w:t xml:space="preserve"> </w:t>
      </w:r>
      <w:r w:rsidR="00CC2FA3">
        <w:rPr>
          <w:rFonts w:cstheme="minorHAnsi"/>
        </w:rPr>
        <w:t xml:space="preserve">considered </w:t>
      </w:r>
      <w:r w:rsidR="005B5ECC" w:rsidRPr="00DE703D">
        <w:rPr>
          <w:rFonts w:cstheme="minorHAnsi"/>
        </w:rPr>
        <w:t>within the community data</w:t>
      </w:r>
      <w:r w:rsidR="004F1825" w:rsidRPr="00DE703D">
        <w:rPr>
          <w:rFonts w:cstheme="minorHAnsi"/>
        </w:rPr>
        <w:t xml:space="preserve">. </w:t>
      </w:r>
      <w:r w:rsidR="005025C7" w:rsidRPr="00DE703D">
        <w:rPr>
          <w:rFonts w:cstheme="minorHAnsi"/>
        </w:rPr>
        <w:t>Although similar proportions of men and women reported that they would be hesitant towards having a COVID-19 vaccine overall, a slightly higher proportion of younger women (aged 16 to 29 years) reported vaccine hesitancy (14%) compared with men in the same age group (10%). Proportions were similar for men and women in older age groups.</w:t>
      </w:r>
    </w:p>
    <w:p w14:paraId="55C83FA1" w14:textId="166B6268" w:rsidR="005025C7" w:rsidRDefault="00A074D5" w:rsidP="005025C7">
      <w:pPr>
        <w:spacing w:after="240" w:line="240" w:lineRule="auto"/>
        <w:textAlignment w:val="baseline"/>
        <w:outlineLvl w:val="1"/>
        <w:rPr>
          <w:rFonts w:eastAsia="Times New Roman" w:cstheme="minorHAnsi"/>
          <w:b/>
          <w:bCs/>
          <w:color w:val="323132"/>
          <w:lang w:eastAsia="en-GB"/>
        </w:rPr>
      </w:pPr>
      <w:r w:rsidRPr="00DE703D">
        <w:rPr>
          <w:rFonts w:eastAsia="Times New Roman" w:cstheme="minorHAnsi"/>
          <w:b/>
          <w:bCs/>
          <w:color w:val="323132"/>
          <w:lang w:eastAsia="en-GB"/>
        </w:rPr>
        <w:t>(United Kingdom</w:t>
      </w:r>
      <w:r w:rsidR="005025C7" w:rsidRPr="00DE703D">
        <w:rPr>
          <w:rFonts w:eastAsia="Times New Roman" w:cstheme="minorHAnsi"/>
          <w:b/>
          <w:bCs/>
          <w:color w:val="323132"/>
          <w:lang w:eastAsia="en-GB"/>
        </w:rPr>
        <w:t>, 17</w:t>
      </w:r>
      <w:r w:rsidRPr="00DE703D">
        <w:rPr>
          <w:rFonts w:eastAsia="Times New Roman" w:cstheme="minorHAnsi"/>
          <w:b/>
          <w:bCs/>
          <w:color w:val="323132"/>
          <w:vertAlign w:val="superscript"/>
          <w:lang w:eastAsia="en-GB"/>
        </w:rPr>
        <w:t>th</w:t>
      </w:r>
      <w:r w:rsidRPr="00DE703D">
        <w:rPr>
          <w:rFonts w:eastAsia="Times New Roman" w:cstheme="minorHAnsi"/>
          <w:b/>
          <w:bCs/>
          <w:color w:val="323132"/>
          <w:lang w:eastAsia="en-GB"/>
        </w:rPr>
        <w:t xml:space="preserve"> </w:t>
      </w:r>
      <w:r w:rsidR="005025C7" w:rsidRPr="00DE703D">
        <w:rPr>
          <w:rFonts w:eastAsia="Times New Roman" w:cstheme="minorHAnsi"/>
          <w:b/>
          <w:bCs/>
          <w:color w:val="323132"/>
          <w:lang w:eastAsia="en-GB"/>
        </w:rPr>
        <w:t>February to 14</w:t>
      </w:r>
      <w:r w:rsidRPr="00DE703D">
        <w:rPr>
          <w:rFonts w:eastAsia="Times New Roman" w:cstheme="minorHAnsi"/>
          <w:b/>
          <w:bCs/>
          <w:color w:val="323132"/>
          <w:vertAlign w:val="superscript"/>
          <w:lang w:eastAsia="en-GB"/>
        </w:rPr>
        <w:t>th</w:t>
      </w:r>
      <w:r w:rsidRPr="00DE703D">
        <w:rPr>
          <w:rFonts w:eastAsia="Times New Roman" w:cstheme="minorHAnsi"/>
          <w:b/>
          <w:bCs/>
          <w:color w:val="323132"/>
          <w:lang w:eastAsia="en-GB"/>
        </w:rPr>
        <w:t xml:space="preserve"> </w:t>
      </w:r>
      <w:r w:rsidR="005025C7" w:rsidRPr="00DE703D">
        <w:rPr>
          <w:rFonts w:eastAsia="Times New Roman" w:cstheme="minorHAnsi"/>
          <w:b/>
          <w:bCs/>
          <w:color w:val="323132"/>
          <w:lang w:eastAsia="en-GB"/>
        </w:rPr>
        <w:t>March 2021</w:t>
      </w:r>
      <w:r w:rsidRPr="00DE703D">
        <w:rPr>
          <w:rFonts w:eastAsia="Times New Roman" w:cstheme="minorHAnsi"/>
          <w:b/>
          <w:bCs/>
          <w:color w:val="323132"/>
          <w:lang w:eastAsia="en-GB"/>
        </w:rPr>
        <w:t>)</w:t>
      </w:r>
    </w:p>
    <w:p w14:paraId="30AAFBC3" w14:textId="77777777" w:rsidR="00DE703D" w:rsidRPr="00DE703D" w:rsidRDefault="00DE703D" w:rsidP="005025C7">
      <w:pPr>
        <w:spacing w:after="240" w:line="240" w:lineRule="auto"/>
        <w:textAlignment w:val="baseline"/>
        <w:outlineLvl w:val="1"/>
        <w:rPr>
          <w:rFonts w:eastAsia="Times New Roman" w:cstheme="minorHAnsi"/>
          <w:b/>
          <w:bCs/>
          <w:color w:val="323132"/>
          <w:lang w:eastAsia="en-GB"/>
        </w:rPr>
      </w:pPr>
    </w:p>
    <w:p w14:paraId="1A051291" w14:textId="089A7AB3" w:rsidR="006B46C3" w:rsidRDefault="00CC2FA3" w:rsidP="00DE703D">
      <w:pPr>
        <w:pStyle w:val="ListParagraph"/>
        <w:numPr>
          <w:ilvl w:val="1"/>
          <w:numId w:val="32"/>
        </w:numPr>
        <w:spacing w:line="257" w:lineRule="auto"/>
        <w:ind w:left="0"/>
        <w:rPr>
          <w:rFonts w:eastAsia="Calibri" w:cstheme="minorHAnsi"/>
        </w:rPr>
      </w:pPr>
      <w:r>
        <w:rPr>
          <w:rFonts w:cstheme="minorHAnsi"/>
        </w:rPr>
        <w:t>Higher vaccine hesitancy rates amongst women aged 16-29</w:t>
      </w:r>
      <w:r w:rsidR="00190289" w:rsidRPr="00DE703D">
        <w:rPr>
          <w:rFonts w:cstheme="minorHAnsi"/>
        </w:rPr>
        <w:t xml:space="preserve"> is worth exploring</w:t>
      </w:r>
      <w:r w:rsidR="00A074D5" w:rsidRPr="00DE703D">
        <w:rPr>
          <w:rFonts w:cstheme="minorHAnsi"/>
        </w:rPr>
        <w:t>,</w:t>
      </w:r>
      <w:r w:rsidR="00190289" w:rsidRPr="00DE703D">
        <w:rPr>
          <w:rFonts w:cstheme="minorHAnsi"/>
        </w:rPr>
        <w:t xml:space="preserve"> as this </w:t>
      </w:r>
      <w:r>
        <w:rPr>
          <w:rFonts w:cstheme="minorHAnsi"/>
        </w:rPr>
        <w:t xml:space="preserve">does not appear to have </w:t>
      </w:r>
      <w:r w:rsidR="00190289" w:rsidRPr="00DE703D">
        <w:rPr>
          <w:rFonts w:cstheme="minorHAnsi"/>
        </w:rPr>
        <w:t>transfer</w:t>
      </w:r>
      <w:r>
        <w:rPr>
          <w:rFonts w:cstheme="minorHAnsi"/>
        </w:rPr>
        <w:t>red</w:t>
      </w:r>
      <w:r w:rsidR="00190289" w:rsidRPr="00DE703D">
        <w:rPr>
          <w:rFonts w:cstheme="minorHAnsi"/>
        </w:rPr>
        <w:t xml:space="preserve"> over to the prison estate as other community trends</w:t>
      </w:r>
      <w:r>
        <w:rPr>
          <w:rFonts w:cstheme="minorHAnsi"/>
        </w:rPr>
        <w:t xml:space="preserve"> have done</w:t>
      </w:r>
      <w:r w:rsidR="00190289" w:rsidRPr="00DE703D">
        <w:rPr>
          <w:rFonts w:cstheme="minorHAnsi"/>
        </w:rPr>
        <w:t>. Instead</w:t>
      </w:r>
      <w:r w:rsidR="00A074D5" w:rsidRPr="00DE703D">
        <w:rPr>
          <w:rFonts w:cstheme="minorHAnsi"/>
        </w:rPr>
        <w:t>,</w:t>
      </w:r>
      <w:r w:rsidR="00190289" w:rsidRPr="00DE703D">
        <w:rPr>
          <w:rFonts w:cstheme="minorHAnsi"/>
        </w:rPr>
        <w:t xml:space="preserve"> the </w:t>
      </w:r>
      <w:r w:rsidR="00A074D5" w:rsidRPr="00DE703D">
        <w:rPr>
          <w:rFonts w:cstheme="minorHAnsi"/>
        </w:rPr>
        <w:t>F</w:t>
      </w:r>
      <w:r w:rsidR="00190289" w:rsidRPr="00DE703D">
        <w:rPr>
          <w:rFonts w:cstheme="minorHAnsi"/>
        </w:rPr>
        <w:t xml:space="preserve">emale </w:t>
      </w:r>
      <w:r w:rsidR="00A074D5" w:rsidRPr="00DE703D">
        <w:rPr>
          <w:rFonts w:cstheme="minorHAnsi"/>
        </w:rPr>
        <w:t>E</w:t>
      </w:r>
      <w:r w:rsidR="00190289" w:rsidRPr="00DE703D">
        <w:rPr>
          <w:rFonts w:cstheme="minorHAnsi"/>
        </w:rPr>
        <w:t>state has the highest vaccine compliancy rate.</w:t>
      </w:r>
      <w:r w:rsidR="00225014" w:rsidRPr="00DE703D">
        <w:rPr>
          <w:rFonts w:cstheme="minorHAnsi"/>
        </w:rPr>
        <w:t xml:space="preserve">. </w:t>
      </w:r>
      <w:r w:rsidR="00225014" w:rsidRPr="00DE703D">
        <w:rPr>
          <w:rFonts w:eastAsia="Calibri" w:cstheme="minorHAnsi"/>
        </w:rPr>
        <w:t>Instead, the Female Estate has the highest vaccine compliancy rate. Noticeably Female Closed and Open prisons are at 10% and 9% vaccine decline rate respect</w:t>
      </w:r>
      <w:r>
        <w:rPr>
          <w:rFonts w:eastAsia="Calibri" w:cstheme="minorHAnsi"/>
        </w:rPr>
        <w:t>ive</w:t>
      </w:r>
      <w:r w:rsidR="00225014" w:rsidRPr="00DE703D">
        <w:rPr>
          <w:rFonts w:eastAsia="Calibri" w:cstheme="minorHAnsi"/>
        </w:rPr>
        <w:t xml:space="preserve">ly, whereas the Female Local sites increases to 15%. Even still, Female Locals have a 12% lower decline rate than the Male Locals (27%) and 19% lower decline rate than the Male YOIs (34%). </w:t>
      </w:r>
    </w:p>
    <w:p w14:paraId="5A55B260" w14:textId="77777777" w:rsidR="00DE703D" w:rsidRPr="00DE703D" w:rsidRDefault="00DE703D" w:rsidP="00DE703D">
      <w:pPr>
        <w:pStyle w:val="ListParagraph"/>
        <w:spacing w:line="257" w:lineRule="auto"/>
        <w:ind w:left="0"/>
        <w:rPr>
          <w:rFonts w:eastAsia="Calibri" w:cstheme="minorHAnsi"/>
        </w:rPr>
      </w:pPr>
    </w:p>
    <w:p w14:paraId="47A00500" w14:textId="5B3C7ADB" w:rsidR="00DE703D" w:rsidRPr="00DE703D" w:rsidRDefault="00190289" w:rsidP="00DE703D">
      <w:pPr>
        <w:pStyle w:val="ListParagraph"/>
        <w:numPr>
          <w:ilvl w:val="1"/>
          <w:numId w:val="32"/>
        </w:numPr>
        <w:spacing w:line="257" w:lineRule="auto"/>
        <w:ind w:left="0"/>
        <w:rPr>
          <w:rFonts w:eastAsia="Calibri" w:cstheme="minorHAnsi"/>
        </w:rPr>
      </w:pPr>
      <w:r w:rsidRPr="00DE703D">
        <w:rPr>
          <w:rFonts w:cstheme="minorHAnsi"/>
        </w:rPr>
        <w:t>Research in community vaccine hesitancy among young women is driven by the perceived risk of vaccine</w:t>
      </w:r>
      <w:r w:rsidR="00533DB8" w:rsidRPr="00DE703D">
        <w:rPr>
          <w:rFonts w:cstheme="minorHAnsi"/>
        </w:rPr>
        <w:t>s</w:t>
      </w:r>
      <w:r w:rsidRPr="00DE703D">
        <w:rPr>
          <w:rFonts w:cstheme="minorHAnsi"/>
        </w:rPr>
        <w:t xml:space="preserve"> on fertility and pregnancy. </w:t>
      </w:r>
      <w:r w:rsidR="00533DB8" w:rsidRPr="00DE703D">
        <w:rPr>
          <w:rFonts w:cstheme="minorHAnsi"/>
        </w:rPr>
        <w:t>This is rationalised when consider</w:t>
      </w:r>
      <w:r w:rsidR="00CC2FA3">
        <w:rPr>
          <w:rFonts w:cstheme="minorHAnsi"/>
        </w:rPr>
        <w:t>ing</w:t>
      </w:r>
      <w:r w:rsidR="00533DB8" w:rsidRPr="00DE703D">
        <w:rPr>
          <w:rFonts w:cstheme="minorHAnsi"/>
        </w:rPr>
        <w:t xml:space="preserve"> the lack of vaccine testing on pregnant women historically and the Thalidomide scandal forming part of this rhetoric. </w:t>
      </w:r>
    </w:p>
    <w:p w14:paraId="001EACF1" w14:textId="77777777" w:rsidR="00DE703D" w:rsidRPr="00DE703D" w:rsidRDefault="00DE703D" w:rsidP="00DE703D">
      <w:pPr>
        <w:pStyle w:val="ListParagraph"/>
        <w:rPr>
          <w:rFonts w:eastAsia="Calibri" w:cstheme="minorHAnsi"/>
        </w:rPr>
      </w:pPr>
    </w:p>
    <w:p w14:paraId="2123A4CF" w14:textId="211B6F30" w:rsidR="008C515A" w:rsidRDefault="008C515A" w:rsidP="00DE703D">
      <w:pPr>
        <w:pStyle w:val="ListParagraph"/>
        <w:numPr>
          <w:ilvl w:val="1"/>
          <w:numId w:val="32"/>
        </w:numPr>
        <w:spacing w:line="257" w:lineRule="auto"/>
        <w:ind w:left="0"/>
        <w:rPr>
          <w:rFonts w:eastAsia="Calibri" w:cstheme="minorHAnsi"/>
        </w:rPr>
      </w:pPr>
      <w:r w:rsidRPr="00DE703D">
        <w:rPr>
          <w:rFonts w:eastAsia="Calibri" w:cstheme="minorHAnsi"/>
        </w:rPr>
        <w:t>Despite this</w:t>
      </w:r>
      <w:r w:rsidR="00CC2FA3">
        <w:rPr>
          <w:rFonts w:eastAsia="Calibri" w:cstheme="minorHAnsi"/>
        </w:rPr>
        <w:t>, higher levels of vaccine hesitancy amongst women</w:t>
      </w:r>
      <w:r w:rsidRPr="00DE703D">
        <w:rPr>
          <w:rFonts w:eastAsia="Calibri" w:cstheme="minorHAnsi"/>
        </w:rPr>
        <w:t xml:space="preserve"> are not necessarily commut</w:t>
      </w:r>
      <w:r w:rsidR="00CC2FA3">
        <w:rPr>
          <w:rFonts w:eastAsia="Calibri" w:cstheme="minorHAnsi"/>
        </w:rPr>
        <w:t>ing</w:t>
      </w:r>
      <w:r w:rsidRPr="00DE703D">
        <w:rPr>
          <w:rFonts w:eastAsia="Calibri" w:cstheme="minorHAnsi"/>
        </w:rPr>
        <w:t xml:space="preserve"> to prisons. When contacted, HMP Styal cited their decline rates as very low and for mostly non fertility reasons such as: </w:t>
      </w:r>
    </w:p>
    <w:p w14:paraId="6034D770" w14:textId="77777777" w:rsidR="00DE703D" w:rsidRPr="00DE703D" w:rsidRDefault="00DE703D" w:rsidP="00DE703D">
      <w:pPr>
        <w:pStyle w:val="ListParagraph"/>
        <w:rPr>
          <w:rFonts w:eastAsia="Calibri" w:cstheme="minorHAnsi"/>
        </w:rPr>
      </w:pPr>
    </w:p>
    <w:p w14:paraId="6F766553" w14:textId="77777777" w:rsidR="008C515A" w:rsidRPr="00B67AAE" w:rsidRDefault="008C515A" w:rsidP="00DE703D">
      <w:pPr>
        <w:pStyle w:val="ListParagraph"/>
        <w:numPr>
          <w:ilvl w:val="0"/>
          <w:numId w:val="28"/>
        </w:numPr>
        <w:ind w:left="284" w:hanging="284"/>
        <w:rPr>
          <w:rFonts w:eastAsiaTheme="minorEastAsia" w:cstheme="minorHAnsi"/>
        </w:rPr>
      </w:pPr>
      <w:r w:rsidRPr="00B67AAE">
        <w:rPr>
          <w:rFonts w:eastAsia="Calibri" w:cstheme="minorHAnsi"/>
        </w:rPr>
        <w:t>Not feeling well enough at the time of appointment so to be rebooked for another time.</w:t>
      </w:r>
    </w:p>
    <w:p w14:paraId="6C654AF2" w14:textId="77777777" w:rsidR="008D4822" w:rsidRPr="008D4822" w:rsidRDefault="008C515A" w:rsidP="00DE703D">
      <w:pPr>
        <w:pStyle w:val="ListParagraph"/>
        <w:numPr>
          <w:ilvl w:val="0"/>
          <w:numId w:val="28"/>
        </w:numPr>
        <w:ind w:left="284" w:hanging="284"/>
        <w:rPr>
          <w:rFonts w:eastAsiaTheme="minorEastAsia" w:cstheme="minorHAnsi"/>
        </w:rPr>
      </w:pPr>
      <w:r w:rsidRPr="00B67AAE">
        <w:rPr>
          <w:rFonts w:eastAsia="Calibri" w:cstheme="minorHAnsi"/>
        </w:rPr>
        <w:lastRenderedPageBreak/>
        <w:t xml:space="preserve">50% of noted declines are due to behavioural issues and not engaging with anything medical related. </w:t>
      </w:r>
    </w:p>
    <w:p w14:paraId="46E00F59" w14:textId="77777777" w:rsidR="00DE703D" w:rsidRPr="008D4822" w:rsidRDefault="00DE703D" w:rsidP="00DE703D">
      <w:pPr>
        <w:pStyle w:val="ListParagraph"/>
        <w:ind w:left="426"/>
        <w:rPr>
          <w:rFonts w:eastAsiaTheme="minorEastAsia" w:cstheme="minorHAnsi"/>
        </w:rPr>
      </w:pPr>
    </w:p>
    <w:p w14:paraId="2EB3895B" w14:textId="55DE9EDD" w:rsidR="00C7529C" w:rsidRPr="00DE703D" w:rsidRDefault="00190289" w:rsidP="00DE703D">
      <w:pPr>
        <w:pStyle w:val="ListParagraph"/>
        <w:numPr>
          <w:ilvl w:val="1"/>
          <w:numId w:val="32"/>
        </w:numPr>
        <w:ind w:left="0"/>
        <w:rPr>
          <w:rFonts w:cstheme="minorHAnsi"/>
        </w:rPr>
      </w:pPr>
      <w:r w:rsidRPr="00DE703D">
        <w:rPr>
          <w:rFonts w:cstheme="minorHAnsi"/>
        </w:rPr>
        <w:t xml:space="preserve">Prisoners at HMP Nottingham and HMP Isis cited infertility and a negative effect on their sex drive as reasons not to have the vaccine. Parental influence amongst young men in prison was also a central reason for vaccine decline, having been cited across all eight YOI prisons and most </w:t>
      </w:r>
      <w:r w:rsidR="00D27CBA" w:rsidRPr="00DE703D">
        <w:rPr>
          <w:rFonts w:cstheme="minorHAnsi"/>
        </w:rPr>
        <w:t>L</w:t>
      </w:r>
      <w:r w:rsidRPr="00DE703D">
        <w:rPr>
          <w:rFonts w:cstheme="minorHAnsi"/>
        </w:rPr>
        <w:t xml:space="preserve">ocal prisons </w:t>
      </w:r>
      <w:r w:rsidR="001F3F5A">
        <w:rPr>
          <w:rFonts w:cstheme="minorHAnsi"/>
        </w:rPr>
        <w:t>who provided decline data</w:t>
      </w:r>
      <w:r w:rsidRPr="00DE703D">
        <w:rPr>
          <w:rFonts w:cstheme="minorHAnsi"/>
        </w:rPr>
        <w:t xml:space="preserve">. </w:t>
      </w:r>
    </w:p>
    <w:p w14:paraId="4C439C1A" w14:textId="77777777" w:rsidR="00DE703D" w:rsidRPr="00DE703D" w:rsidRDefault="00DE703D" w:rsidP="00DE703D">
      <w:pPr>
        <w:pStyle w:val="ListParagraph"/>
        <w:rPr>
          <w:rFonts w:cstheme="minorHAnsi"/>
        </w:rPr>
      </w:pPr>
    </w:p>
    <w:p w14:paraId="41B5E04D" w14:textId="77777777" w:rsidR="00EF0410" w:rsidRDefault="00EF0410" w:rsidP="00190289">
      <w:pPr>
        <w:rPr>
          <w:rFonts w:cstheme="minorHAnsi"/>
          <w:color w:val="000000" w:themeColor="text1"/>
          <w:sz w:val="32"/>
          <w:szCs w:val="32"/>
        </w:rPr>
      </w:pPr>
    </w:p>
    <w:p w14:paraId="69F7F7F0" w14:textId="77777777" w:rsidR="00DE703D" w:rsidRDefault="00DE703D">
      <w:pPr>
        <w:rPr>
          <w:rFonts w:cstheme="minorHAnsi"/>
          <w:color w:val="000000" w:themeColor="text1"/>
          <w:sz w:val="32"/>
          <w:szCs w:val="32"/>
        </w:rPr>
      </w:pPr>
      <w:r>
        <w:rPr>
          <w:rFonts w:cstheme="minorHAnsi"/>
          <w:color w:val="000000" w:themeColor="text1"/>
          <w:sz w:val="32"/>
          <w:szCs w:val="32"/>
        </w:rPr>
        <w:br w:type="page"/>
      </w:r>
    </w:p>
    <w:p w14:paraId="430CC324" w14:textId="25F44C33" w:rsidR="00190289" w:rsidRPr="00DE703D" w:rsidRDefault="00190289" w:rsidP="00DE703D">
      <w:pPr>
        <w:pStyle w:val="ListParagraph"/>
        <w:numPr>
          <w:ilvl w:val="0"/>
          <w:numId w:val="32"/>
        </w:numPr>
        <w:ind w:left="0"/>
        <w:rPr>
          <w:rFonts w:cstheme="minorHAnsi"/>
          <w:b/>
          <w:bCs/>
          <w:sz w:val="24"/>
          <w:szCs w:val="24"/>
          <w:u w:val="single"/>
        </w:rPr>
      </w:pPr>
      <w:bookmarkStart w:id="7" w:name="Conclusion"/>
      <w:r w:rsidRPr="00DE703D">
        <w:rPr>
          <w:rFonts w:cstheme="minorHAnsi"/>
          <w:b/>
          <w:bCs/>
          <w:color w:val="000000" w:themeColor="text1"/>
          <w:sz w:val="24"/>
          <w:szCs w:val="24"/>
          <w:u w:val="single"/>
        </w:rPr>
        <w:lastRenderedPageBreak/>
        <w:t>Conclusion and Recommendations</w:t>
      </w:r>
      <w:bookmarkEnd w:id="7"/>
    </w:p>
    <w:p w14:paraId="550A4FF9" w14:textId="77777777" w:rsidR="00DE703D" w:rsidRDefault="00DE703D" w:rsidP="00190289">
      <w:pPr>
        <w:rPr>
          <w:rFonts w:cstheme="minorHAnsi"/>
        </w:rPr>
      </w:pPr>
    </w:p>
    <w:p w14:paraId="1D90A983" w14:textId="4786D30D" w:rsidR="00393A99" w:rsidRDefault="00ED132B" w:rsidP="00DE703D">
      <w:pPr>
        <w:pStyle w:val="ListParagraph"/>
        <w:numPr>
          <w:ilvl w:val="1"/>
          <w:numId w:val="32"/>
        </w:numPr>
        <w:ind w:left="0"/>
        <w:rPr>
          <w:rFonts w:cstheme="minorHAnsi"/>
        </w:rPr>
      </w:pPr>
      <w:r w:rsidRPr="00DE703D">
        <w:rPr>
          <w:rFonts w:cstheme="minorHAnsi"/>
        </w:rPr>
        <w:t xml:space="preserve">It is important to understand that the data available to us </w:t>
      </w:r>
      <w:r w:rsidR="009D2AE5" w:rsidRPr="00DE703D">
        <w:rPr>
          <w:rFonts w:cstheme="minorHAnsi"/>
        </w:rPr>
        <w:t xml:space="preserve">at </w:t>
      </w:r>
      <w:r w:rsidR="00E2407F">
        <w:rPr>
          <w:rFonts w:cstheme="minorHAnsi"/>
        </w:rPr>
        <w:t>the time of writing</w:t>
      </w:r>
      <w:r w:rsidR="009D2AE5" w:rsidRPr="00DE703D">
        <w:rPr>
          <w:rFonts w:cstheme="minorHAnsi"/>
        </w:rPr>
        <w:t xml:space="preserve"> </w:t>
      </w:r>
      <w:r w:rsidR="00A14EDF">
        <w:rPr>
          <w:rFonts w:cstheme="minorHAnsi"/>
        </w:rPr>
        <w:t>was not as robust as all parties would have liked</w:t>
      </w:r>
      <w:r w:rsidRPr="00DE703D">
        <w:rPr>
          <w:rFonts w:cstheme="minorHAnsi"/>
        </w:rPr>
        <w:t>, therefore making it difficult to accurately analyse and establish trends. Local data has highlighted this and has gone someway to achieving a better understanding of vaccine uptake</w:t>
      </w:r>
      <w:r w:rsidR="005E1214">
        <w:rPr>
          <w:rFonts w:cstheme="minorHAnsi"/>
        </w:rPr>
        <w:t xml:space="preserve"> and</w:t>
      </w:r>
      <w:r w:rsidR="009D2AE5" w:rsidRPr="00DE703D">
        <w:rPr>
          <w:rFonts w:cstheme="minorHAnsi"/>
        </w:rPr>
        <w:t xml:space="preserve"> </w:t>
      </w:r>
      <w:r w:rsidR="005E1214">
        <w:t xml:space="preserve">very recently NHSEI has provided some more robust data, </w:t>
      </w:r>
      <w:r w:rsidR="00D4051D">
        <w:t>which have broadly matched and confirmed our findings</w:t>
      </w:r>
      <w:r w:rsidR="005E1214">
        <w:t xml:space="preserve">. </w:t>
      </w:r>
      <w:r w:rsidR="00190289" w:rsidRPr="00DE703D">
        <w:rPr>
          <w:rFonts w:cstheme="minorHAnsi"/>
        </w:rPr>
        <w:t xml:space="preserve">When </w:t>
      </w:r>
      <w:r w:rsidR="00CC2FA3">
        <w:rPr>
          <w:rFonts w:cstheme="minorHAnsi"/>
        </w:rPr>
        <w:t>considering the content of this thematic</w:t>
      </w:r>
      <w:r w:rsidR="00190289" w:rsidRPr="00DE703D">
        <w:rPr>
          <w:rFonts w:cstheme="minorHAnsi"/>
        </w:rPr>
        <w:t xml:space="preserve"> </w:t>
      </w:r>
      <w:r w:rsidR="00E2407F">
        <w:rPr>
          <w:rFonts w:cstheme="minorHAnsi"/>
        </w:rPr>
        <w:t>review</w:t>
      </w:r>
      <w:r w:rsidR="00CC2FA3">
        <w:rPr>
          <w:rFonts w:cstheme="minorHAnsi"/>
        </w:rPr>
        <w:t>,</w:t>
      </w:r>
      <w:r w:rsidR="00E2407F" w:rsidRPr="00DE703D">
        <w:rPr>
          <w:rFonts w:cstheme="minorHAnsi"/>
        </w:rPr>
        <w:t xml:space="preserve"> </w:t>
      </w:r>
      <w:r w:rsidR="00CC2FA3">
        <w:rPr>
          <w:rFonts w:cstheme="minorHAnsi"/>
        </w:rPr>
        <w:t>there is evidence</w:t>
      </w:r>
      <w:r w:rsidR="00190289" w:rsidRPr="00DE703D">
        <w:rPr>
          <w:rFonts w:cstheme="minorHAnsi"/>
        </w:rPr>
        <w:t xml:space="preserve"> that community trends such as age, ethnicity and locality are commutable to the custodial environment. Noticeably community trends </w:t>
      </w:r>
      <w:r w:rsidR="00D27CBA" w:rsidRPr="00DE703D">
        <w:rPr>
          <w:rFonts w:cstheme="minorHAnsi"/>
        </w:rPr>
        <w:t>regarding</w:t>
      </w:r>
      <w:r w:rsidR="00190289" w:rsidRPr="00DE703D">
        <w:rPr>
          <w:rFonts w:cstheme="minorHAnsi"/>
        </w:rPr>
        <w:t xml:space="preserve"> female uptake is not </w:t>
      </w:r>
      <w:r w:rsidR="00D27CBA" w:rsidRPr="00DE703D">
        <w:rPr>
          <w:rFonts w:cstheme="minorHAnsi"/>
        </w:rPr>
        <w:t xml:space="preserve">necessarily </w:t>
      </w:r>
      <w:r w:rsidR="00190289" w:rsidRPr="00DE703D">
        <w:rPr>
          <w:rFonts w:cstheme="minorHAnsi"/>
        </w:rPr>
        <w:t xml:space="preserve">commuted to </w:t>
      </w:r>
      <w:r w:rsidR="00940388" w:rsidRPr="00DE703D">
        <w:rPr>
          <w:rFonts w:cstheme="minorHAnsi"/>
        </w:rPr>
        <w:t>the custodial environment.</w:t>
      </w:r>
    </w:p>
    <w:p w14:paraId="57D57B78" w14:textId="77777777" w:rsidR="00DE703D" w:rsidRPr="00DE703D" w:rsidRDefault="00DE703D" w:rsidP="00DE703D">
      <w:pPr>
        <w:pStyle w:val="ListParagraph"/>
        <w:ind w:left="0"/>
        <w:rPr>
          <w:rFonts w:cstheme="minorHAnsi"/>
        </w:rPr>
      </w:pPr>
    </w:p>
    <w:p w14:paraId="1C43EA8F" w14:textId="30827DC1" w:rsidR="00DE703D" w:rsidRDefault="00CC2FA3" w:rsidP="00DE703D">
      <w:pPr>
        <w:pStyle w:val="ListParagraph"/>
        <w:numPr>
          <w:ilvl w:val="1"/>
          <w:numId w:val="32"/>
        </w:numPr>
        <w:ind w:left="0"/>
        <w:rPr>
          <w:rFonts w:cstheme="minorHAnsi"/>
        </w:rPr>
      </w:pPr>
      <w:r>
        <w:rPr>
          <w:rFonts w:cstheme="minorHAnsi"/>
        </w:rPr>
        <w:t>A pattern emerges</w:t>
      </w:r>
      <w:r w:rsidR="00190289" w:rsidRPr="00DE703D">
        <w:rPr>
          <w:rFonts w:cstheme="minorHAnsi"/>
        </w:rPr>
        <w:t xml:space="preserve"> whereby residents who are younger and from minority ethnic groups may be more likely to decline the vaccine offer. Information concerning vaccine hesitancy amongst prisoners has </w:t>
      </w:r>
      <w:r>
        <w:rPr>
          <w:rFonts w:cstheme="minorHAnsi"/>
        </w:rPr>
        <w:t>provided</w:t>
      </w:r>
      <w:r w:rsidR="00190289" w:rsidRPr="00DE703D">
        <w:rPr>
          <w:rFonts w:cstheme="minorHAnsi"/>
        </w:rPr>
        <w:t xml:space="preserve"> a more solid and well-rounded understanding of problems at a micro level. Community research suggests that </w:t>
      </w:r>
      <w:r w:rsidR="00D27CBA" w:rsidRPr="00DE703D">
        <w:rPr>
          <w:rFonts w:cstheme="minorHAnsi"/>
        </w:rPr>
        <w:t>v</w:t>
      </w:r>
      <w:r w:rsidR="00190289" w:rsidRPr="00DE703D">
        <w:rPr>
          <w:rFonts w:cstheme="minorHAnsi"/>
        </w:rPr>
        <w:t xml:space="preserve">accine scepticism is linked to a wider crisis of trust. This is not exclusive to Covid 19 and forms part of historical trends concerning vaccine uptake. We can see that this trust or lack of trust </w:t>
      </w:r>
      <w:r>
        <w:rPr>
          <w:rFonts w:cstheme="minorHAnsi"/>
        </w:rPr>
        <w:t xml:space="preserve">may be </w:t>
      </w:r>
      <w:r w:rsidR="00190289" w:rsidRPr="00DE703D">
        <w:rPr>
          <w:rFonts w:cstheme="minorHAnsi"/>
        </w:rPr>
        <w:t>amplified within a custodial setting</w:t>
      </w:r>
      <w:r w:rsidR="00D27CBA" w:rsidRPr="00DE703D">
        <w:rPr>
          <w:rFonts w:cstheme="minorHAnsi"/>
        </w:rPr>
        <w:t>,</w:t>
      </w:r>
      <w:r w:rsidR="00190289" w:rsidRPr="00DE703D">
        <w:rPr>
          <w:rFonts w:cstheme="minorHAnsi"/>
        </w:rPr>
        <w:t xml:space="preserve"> with individuals who often have a strained relationship with authority</w:t>
      </w:r>
      <w:r w:rsidR="00D27CBA" w:rsidRPr="00DE703D">
        <w:rPr>
          <w:rFonts w:cstheme="minorHAnsi"/>
        </w:rPr>
        <w:t xml:space="preserve"> mistrusting official messaging and the motives behind it</w:t>
      </w:r>
      <w:r w:rsidR="00190289" w:rsidRPr="00DE703D">
        <w:rPr>
          <w:rFonts w:cstheme="minorHAnsi"/>
        </w:rPr>
        <w:t xml:space="preserve">. </w:t>
      </w:r>
    </w:p>
    <w:p w14:paraId="13DFE03D" w14:textId="77777777" w:rsidR="00DE703D" w:rsidRPr="00DE703D" w:rsidRDefault="00DE703D" w:rsidP="00DE703D">
      <w:pPr>
        <w:pStyle w:val="ListParagraph"/>
        <w:rPr>
          <w:rFonts w:cstheme="minorHAnsi"/>
        </w:rPr>
      </w:pPr>
    </w:p>
    <w:p w14:paraId="0E4B6612" w14:textId="74D5BC93" w:rsidR="00190289" w:rsidRDefault="00190289" w:rsidP="00DE703D">
      <w:pPr>
        <w:pStyle w:val="ListParagraph"/>
        <w:numPr>
          <w:ilvl w:val="1"/>
          <w:numId w:val="32"/>
        </w:numPr>
        <w:ind w:left="0"/>
        <w:rPr>
          <w:rFonts w:cstheme="minorHAnsi"/>
        </w:rPr>
      </w:pPr>
      <w:r w:rsidRPr="00DE703D">
        <w:rPr>
          <w:rFonts w:cstheme="minorHAnsi"/>
        </w:rPr>
        <w:t>It is important we continue to build trust in prisons through</w:t>
      </w:r>
      <w:r w:rsidR="00D27CBA" w:rsidRPr="00DE703D">
        <w:rPr>
          <w:rFonts w:cstheme="minorHAnsi"/>
        </w:rPr>
        <w:t>:</w:t>
      </w:r>
    </w:p>
    <w:p w14:paraId="768CA728" w14:textId="77777777" w:rsidR="00DE703D" w:rsidRPr="00DE703D" w:rsidRDefault="00DE703D" w:rsidP="00DE703D">
      <w:pPr>
        <w:pStyle w:val="ListParagraph"/>
        <w:rPr>
          <w:rFonts w:cstheme="minorHAnsi"/>
        </w:rPr>
      </w:pPr>
    </w:p>
    <w:p w14:paraId="7D977D3A" w14:textId="38A1E22F" w:rsidR="00190289" w:rsidRPr="00C7529C" w:rsidRDefault="00190289" w:rsidP="00DE703D">
      <w:pPr>
        <w:pStyle w:val="ListParagraph"/>
        <w:numPr>
          <w:ilvl w:val="0"/>
          <w:numId w:val="11"/>
        </w:numPr>
        <w:ind w:left="284" w:hanging="284"/>
        <w:rPr>
          <w:rFonts w:cstheme="minorHAnsi"/>
        </w:rPr>
      </w:pPr>
      <w:r w:rsidRPr="00C7529C">
        <w:rPr>
          <w:rFonts w:cstheme="minorHAnsi"/>
        </w:rPr>
        <w:t>Clear and consistent communication and education from trusted and credible sources</w:t>
      </w:r>
      <w:r w:rsidR="003C6699">
        <w:rPr>
          <w:rFonts w:cstheme="minorHAnsi"/>
        </w:rPr>
        <w:t>.</w:t>
      </w:r>
    </w:p>
    <w:p w14:paraId="37AC1F38" w14:textId="18E231EC" w:rsidR="00190289" w:rsidRPr="00C7529C" w:rsidRDefault="00190289" w:rsidP="00DE703D">
      <w:pPr>
        <w:pStyle w:val="ListParagraph"/>
        <w:numPr>
          <w:ilvl w:val="0"/>
          <w:numId w:val="11"/>
        </w:numPr>
        <w:ind w:left="284" w:hanging="284"/>
        <w:rPr>
          <w:rFonts w:cstheme="minorHAnsi"/>
        </w:rPr>
      </w:pPr>
      <w:r w:rsidRPr="00C7529C">
        <w:rPr>
          <w:rFonts w:cstheme="minorHAnsi"/>
        </w:rPr>
        <w:t>Positive peer influence</w:t>
      </w:r>
      <w:r w:rsidR="003C6699">
        <w:rPr>
          <w:rFonts w:cstheme="minorHAnsi"/>
        </w:rPr>
        <w:t>.</w:t>
      </w:r>
    </w:p>
    <w:p w14:paraId="613678A4" w14:textId="4055065F" w:rsidR="00190289" w:rsidRPr="00C7529C" w:rsidRDefault="00190289" w:rsidP="00DE703D">
      <w:pPr>
        <w:pStyle w:val="ListParagraph"/>
        <w:numPr>
          <w:ilvl w:val="0"/>
          <w:numId w:val="11"/>
        </w:numPr>
        <w:ind w:left="284" w:hanging="284"/>
        <w:rPr>
          <w:rFonts w:cstheme="minorHAnsi"/>
        </w:rPr>
      </w:pPr>
      <w:r w:rsidRPr="00C7529C">
        <w:rPr>
          <w:rFonts w:cstheme="minorHAnsi"/>
        </w:rPr>
        <w:t>Positive staff relationships</w:t>
      </w:r>
      <w:r w:rsidR="003C6699">
        <w:rPr>
          <w:rFonts w:cstheme="minorHAnsi"/>
        </w:rPr>
        <w:t>.</w:t>
      </w:r>
    </w:p>
    <w:p w14:paraId="01BF087E" w14:textId="32AF51CF" w:rsidR="00190289" w:rsidRDefault="00190289" w:rsidP="00DE703D">
      <w:pPr>
        <w:pStyle w:val="ListParagraph"/>
        <w:numPr>
          <w:ilvl w:val="0"/>
          <w:numId w:val="11"/>
        </w:numPr>
        <w:ind w:left="284" w:hanging="284"/>
        <w:rPr>
          <w:rFonts w:cstheme="minorHAnsi"/>
        </w:rPr>
      </w:pPr>
      <w:r w:rsidRPr="00C7529C">
        <w:rPr>
          <w:rFonts w:cstheme="minorHAnsi"/>
        </w:rPr>
        <w:t xml:space="preserve">Positive vaccination experiences at a practical level. </w:t>
      </w:r>
    </w:p>
    <w:p w14:paraId="0AE252EF" w14:textId="77777777" w:rsidR="00DE703D" w:rsidRPr="00C7529C" w:rsidRDefault="00DE703D" w:rsidP="00DE703D">
      <w:pPr>
        <w:pStyle w:val="ListParagraph"/>
        <w:ind w:left="0"/>
        <w:rPr>
          <w:rFonts w:cstheme="minorHAnsi"/>
        </w:rPr>
      </w:pPr>
    </w:p>
    <w:p w14:paraId="2B7D582D" w14:textId="1F0DF1EC" w:rsidR="00E750E4" w:rsidRDefault="00E750E4" w:rsidP="00DE703D">
      <w:pPr>
        <w:pStyle w:val="ListParagraph"/>
        <w:numPr>
          <w:ilvl w:val="1"/>
          <w:numId w:val="32"/>
        </w:numPr>
        <w:ind w:left="0"/>
        <w:rPr>
          <w:rFonts w:cstheme="minorHAnsi"/>
        </w:rPr>
      </w:pPr>
      <w:r w:rsidRPr="00DE703D">
        <w:rPr>
          <w:rFonts w:cstheme="minorHAnsi"/>
        </w:rPr>
        <w:t xml:space="preserve">It is important </w:t>
      </w:r>
      <w:r w:rsidR="00CC2FA3">
        <w:rPr>
          <w:rFonts w:cstheme="minorHAnsi"/>
        </w:rPr>
        <w:t>to</w:t>
      </w:r>
      <w:r w:rsidRPr="00DE703D">
        <w:rPr>
          <w:rFonts w:cstheme="minorHAnsi"/>
        </w:rPr>
        <w:t xml:space="preserve"> understand emerging problems and take a proactive approach to address these. Local prison feedback has </w:t>
      </w:r>
      <w:r w:rsidR="00CC2FA3">
        <w:rPr>
          <w:rFonts w:cstheme="minorHAnsi"/>
        </w:rPr>
        <w:t>provided</w:t>
      </w:r>
      <w:r w:rsidRPr="00DE703D">
        <w:rPr>
          <w:rFonts w:cstheme="minorHAnsi"/>
        </w:rPr>
        <w:t xml:space="preserve"> an insight into some of the ongoing themes and</w:t>
      </w:r>
      <w:r w:rsidR="00E2407F">
        <w:rPr>
          <w:rFonts w:cstheme="minorHAnsi"/>
        </w:rPr>
        <w:t xml:space="preserve"> challenges</w:t>
      </w:r>
      <w:r w:rsidRPr="00DE703D">
        <w:rPr>
          <w:rFonts w:cstheme="minorHAnsi"/>
        </w:rPr>
        <w:t xml:space="preserve"> in terms of hesitancy at ground level. It is important that the hard work </w:t>
      </w:r>
      <w:r w:rsidR="00CC2FA3">
        <w:rPr>
          <w:rFonts w:cstheme="minorHAnsi"/>
        </w:rPr>
        <w:t xml:space="preserve">surrounding </w:t>
      </w:r>
      <w:r w:rsidRPr="00DE703D">
        <w:rPr>
          <w:rFonts w:cstheme="minorHAnsi"/>
        </w:rPr>
        <w:t>vaccine motivation and education is completed prior to the offer of a vaccination, so the p</w:t>
      </w:r>
      <w:r w:rsidR="00E2407F">
        <w:rPr>
          <w:rFonts w:cstheme="minorHAnsi"/>
        </w:rPr>
        <w:t>risoner</w:t>
      </w:r>
      <w:r w:rsidRPr="00DE703D">
        <w:rPr>
          <w:rFonts w:cstheme="minorHAnsi"/>
        </w:rPr>
        <w:t xml:space="preserve"> is confident in the process. A reactive approach can often result in frustration for prisoners who are being offered the vaccine numerous times without their motivation being altered.</w:t>
      </w:r>
    </w:p>
    <w:p w14:paraId="09414EF2" w14:textId="77777777" w:rsidR="00DE703D" w:rsidRPr="00DE703D" w:rsidRDefault="00DE703D" w:rsidP="00DE703D">
      <w:pPr>
        <w:pStyle w:val="ListParagraph"/>
        <w:ind w:left="0"/>
        <w:rPr>
          <w:rFonts w:cstheme="minorHAnsi"/>
        </w:rPr>
      </w:pPr>
    </w:p>
    <w:p w14:paraId="01FE0453" w14:textId="512E5FF4" w:rsidR="00DE703D" w:rsidRDefault="00CC2FA3" w:rsidP="00DE703D">
      <w:pPr>
        <w:pStyle w:val="ListParagraph"/>
        <w:numPr>
          <w:ilvl w:val="1"/>
          <w:numId w:val="32"/>
        </w:numPr>
        <w:ind w:left="0"/>
        <w:rPr>
          <w:rFonts w:cstheme="minorHAnsi"/>
        </w:rPr>
      </w:pPr>
      <w:r>
        <w:rPr>
          <w:rFonts w:cstheme="minorHAnsi"/>
        </w:rPr>
        <w:t>Community</w:t>
      </w:r>
      <w:r w:rsidR="00E750E4" w:rsidRPr="00DE703D">
        <w:rPr>
          <w:rFonts w:cstheme="minorHAnsi"/>
        </w:rPr>
        <w:t xml:space="preserve"> research</w:t>
      </w:r>
      <w:r>
        <w:rPr>
          <w:rFonts w:cstheme="minorHAnsi"/>
        </w:rPr>
        <w:t xml:space="preserve"> indicates</w:t>
      </w:r>
      <w:r w:rsidR="00E750E4" w:rsidRPr="00DE703D">
        <w:rPr>
          <w:rFonts w:cstheme="minorHAnsi"/>
        </w:rPr>
        <w:t xml:space="preserve"> that there is a higher willingness to accept vaccination during COVID peaks/lockdowns, and then declining intention as restrictions ease</w:t>
      </w:r>
      <w:r w:rsidR="001B4C68" w:rsidRPr="00DE703D">
        <w:rPr>
          <w:rFonts w:cstheme="minorHAnsi"/>
        </w:rPr>
        <w:t xml:space="preserve"> and </w:t>
      </w:r>
      <w:r w:rsidR="00E750E4" w:rsidRPr="00DE703D">
        <w:rPr>
          <w:rFonts w:cstheme="minorHAnsi"/>
        </w:rPr>
        <w:t>peaks pass. This is a problem that we are likely to encounter in the coming months in a custodial environment when moving through regime stages</w:t>
      </w:r>
      <w:r>
        <w:rPr>
          <w:rFonts w:cstheme="minorHAnsi"/>
        </w:rPr>
        <w:t xml:space="preserve"> and</w:t>
      </w:r>
      <w:r w:rsidR="00E750E4" w:rsidRPr="00DE703D">
        <w:rPr>
          <w:rFonts w:cstheme="minorHAnsi"/>
        </w:rPr>
        <w:t xml:space="preserve"> will need to be monitored closely.</w:t>
      </w:r>
    </w:p>
    <w:p w14:paraId="30FABA72" w14:textId="77777777" w:rsidR="00DE703D" w:rsidRPr="00DE703D" w:rsidRDefault="00DE703D" w:rsidP="00DE703D">
      <w:pPr>
        <w:pStyle w:val="ListParagraph"/>
        <w:rPr>
          <w:rFonts w:cstheme="minorHAnsi"/>
        </w:rPr>
      </w:pPr>
    </w:p>
    <w:p w14:paraId="5ADC95E9" w14:textId="0FB73A8B" w:rsidR="00DE703D" w:rsidRDefault="00E750E4" w:rsidP="00DE703D">
      <w:pPr>
        <w:pStyle w:val="ListParagraph"/>
        <w:numPr>
          <w:ilvl w:val="1"/>
          <w:numId w:val="32"/>
        </w:numPr>
        <w:ind w:left="0"/>
        <w:rPr>
          <w:rFonts w:cstheme="minorHAnsi"/>
        </w:rPr>
      </w:pPr>
      <w:r w:rsidRPr="00DE703D">
        <w:rPr>
          <w:rFonts w:cstheme="minorHAnsi"/>
        </w:rPr>
        <w:t xml:space="preserve">Now </w:t>
      </w:r>
      <w:r w:rsidR="00CC2FA3">
        <w:rPr>
          <w:rFonts w:cstheme="minorHAnsi"/>
        </w:rPr>
        <w:t>NHS</w:t>
      </w:r>
      <w:r w:rsidRPr="00DE703D">
        <w:rPr>
          <w:rFonts w:cstheme="minorHAnsi"/>
        </w:rPr>
        <w:t xml:space="preserve"> are targeting vaccination towards younger and healthier people too, the personal benefits become less obvious to those individualists who do not see the bigger societal picture in terms of the vaccination process. </w:t>
      </w:r>
    </w:p>
    <w:p w14:paraId="3D341946" w14:textId="77777777" w:rsidR="00DE703D" w:rsidRPr="00DE703D" w:rsidRDefault="00DE703D" w:rsidP="00DE703D">
      <w:pPr>
        <w:pStyle w:val="ListParagraph"/>
        <w:rPr>
          <w:rFonts w:cstheme="minorHAnsi"/>
        </w:rPr>
      </w:pPr>
    </w:p>
    <w:p w14:paraId="646977C6" w14:textId="77777777" w:rsidR="00DE703D" w:rsidRDefault="00DB2971" w:rsidP="00975CFD">
      <w:pPr>
        <w:pStyle w:val="ListParagraph"/>
        <w:numPr>
          <w:ilvl w:val="1"/>
          <w:numId w:val="32"/>
        </w:numPr>
        <w:ind w:left="0"/>
        <w:rPr>
          <w:rFonts w:cstheme="minorHAnsi"/>
        </w:rPr>
      </w:pPr>
      <w:r w:rsidRPr="00DE703D">
        <w:rPr>
          <w:rFonts w:cstheme="minorHAnsi"/>
        </w:rPr>
        <w:t>Doctor Daniel Freeman, Professor of Clinical Psychology at the University of Oxford, frames this notion below:</w:t>
      </w:r>
    </w:p>
    <w:p w14:paraId="3D24D66C" w14:textId="77777777" w:rsidR="00DE703D" w:rsidRPr="00DE703D" w:rsidRDefault="00DE703D" w:rsidP="00DE703D">
      <w:pPr>
        <w:pStyle w:val="ListParagraph"/>
        <w:rPr>
          <w:rFonts w:cstheme="minorHAnsi"/>
          <w:i/>
          <w:iCs/>
        </w:rPr>
      </w:pPr>
    </w:p>
    <w:p w14:paraId="24B6F20A" w14:textId="77D40751" w:rsidR="00DE703D" w:rsidRDefault="00DB2971" w:rsidP="00CC2FA3">
      <w:pPr>
        <w:pStyle w:val="ListParagraph"/>
        <w:ind w:left="0"/>
        <w:rPr>
          <w:rFonts w:cstheme="minorHAnsi"/>
          <w:i/>
          <w:iCs/>
        </w:rPr>
      </w:pPr>
      <w:r w:rsidRPr="00DE703D">
        <w:rPr>
          <w:rFonts w:cstheme="minorHAnsi"/>
          <w:i/>
          <w:iCs/>
        </w:rPr>
        <w:t xml:space="preserve">‘When I speak to people who are enthusiastic about vaccination, the first thing they say is that it helps everyone. In contrast, people wary of a vaccine often focus on their own situation: they’ll tell me that they’re unlikely to fall ill, for example, or worry about what may go wrong if they were to take a vaccine. But this perspective can change; when I’ve asked vaccine-hesitant individuals to </w:t>
      </w:r>
      <w:r w:rsidRPr="00DE703D">
        <w:rPr>
          <w:rFonts w:cstheme="minorHAnsi"/>
          <w:i/>
          <w:iCs/>
        </w:rPr>
        <w:lastRenderedPageBreak/>
        <w:t xml:space="preserve">imagine that someone close to them is especially vulnerable to COVID-19, they say that they’re more likely to get vaccinated.’ </w:t>
      </w:r>
    </w:p>
    <w:p w14:paraId="1C29B6F3" w14:textId="77777777" w:rsidR="00D4051D" w:rsidRPr="00DE703D" w:rsidRDefault="00D4051D" w:rsidP="00CC2FA3">
      <w:pPr>
        <w:pStyle w:val="ListParagraph"/>
        <w:ind w:left="0"/>
        <w:rPr>
          <w:rFonts w:cstheme="minorHAnsi"/>
        </w:rPr>
      </w:pPr>
    </w:p>
    <w:p w14:paraId="3E18FB1F" w14:textId="2634EC5C" w:rsidR="00DE703D" w:rsidRDefault="00E750E4" w:rsidP="00DE703D">
      <w:pPr>
        <w:pStyle w:val="ListParagraph"/>
        <w:numPr>
          <w:ilvl w:val="1"/>
          <w:numId w:val="32"/>
        </w:numPr>
        <w:ind w:left="0"/>
        <w:rPr>
          <w:rFonts w:cstheme="minorHAnsi"/>
        </w:rPr>
      </w:pPr>
      <w:r w:rsidRPr="00DE703D">
        <w:rPr>
          <w:rFonts w:cstheme="minorHAnsi"/>
        </w:rPr>
        <w:t>Feedback from C</w:t>
      </w:r>
      <w:r w:rsidR="00E2407F">
        <w:rPr>
          <w:rFonts w:cstheme="minorHAnsi"/>
        </w:rPr>
        <w:t xml:space="preserve">ategory </w:t>
      </w:r>
      <w:r w:rsidRPr="00DE703D">
        <w:rPr>
          <w:rFonts w:cstheme="minorHAnsi"/>
        </w:rPr>
        <w:t>D prisons show</w:t>
      </w:r>
      <w:r w:rsidR="00CC2FA3">
        <w:rPr>
          <w:rFonts w:cstheme="minorHAnsi"/>
        </w:rPr>
        <w:t>s</w:t>
      </w:r>
      <w:r w:rsidRPr="00DE703D">
        <w:rPr>
          <w:rFonts w:cstheme="minorHAnsi"/>
        </w:rPr>
        <w:t xml:space="preserve"> that prisoners in this environment are considering the wider benefit of being vaccinated when considering R</w:t>
      </w:r>
      <w:r w:rsidR="00E2407F">
        <w:rPr>
          <w:rFonts w:cstheme="minorHAnsi"/>
        </w:rPr>
        <w:t>elease On Temporary Licence (R</w:t>
      </w:r>
      <w:r w:rsidRPr="00DE703D">
        <w:rPr>
          <w:rFonts w:cstheme="minorHAnsi"/>
        </w:rPr>
        <w:t>OTL</w:t>
      </w:r>
      <w:r w:rsidR="00E2407F">
        <w:rPr>
          <w:rFonts w:cstheme="minorHAnsi"/>
        </w:rPr>
        <w:t>)</w:t>
      </w:r>
      <w:r w:rsidRPr="00DE703D">
        <w:rPr>
          <w:rFonts w:cstheme="minorHAnsi"/>
        </w:rPr>
        <w:t xml:space="preserve"> and family visits. It is important we try to harness this mentality in the closed estate</w:t>
      </w:r>
      <w:r w:rsidR="0012308B" w:rsidRPr="00DE703D">
        <w:rPr>
          <w:rFonts w:cstheme="minorHAnsi"/>
        </w:rPr>
        <w:t xml:space="preserve">. </w:t>
      </w:r>
      <w:r w:rsidR="00C54A14">
        <w:rPr>
          <w:rFonts w:cstheme="minorHAnsi"/>
        </w:rPr>
        <w:t xml:space="preserve">Discussions with </w:t>
      </w:r>
      <w:r w:rsidRPr="00DE703D">
        <w:rPr>
          <w:rFonts w:cstheme="minorHAnsi"/>
        </w:rPr>
        <w:t xml:space="preserve">the South West </w:t>
      </w:r>
      <w:r w:rsidR="00C54A14">
        <w:rPr>
          <w:rFonts w:cstheme="minorHAnsi"/>
        </w:rPr>
        <w:t xml:space="preserve">indicate </w:t>
      </w:r>
      <w:r w:rsidRPr="00DE703D">
        <w:rPr>
          <w:rFonts w:cstheme="minorHAnsi"/>
        </w:rPr>
        <w:t>that they are looking to trial offering a vaccine at discharge boards, in an exact attempt to do this</w:t>
      </w:r>
      <w:r w:rsidR="00C54A14">
        <w:rPr>
          <w:rFonts w:cstheme="minorHAnsi"/>
        </w:rPr>
        <w:t>. There will also be an opportunity with the reopening of visits and potential introduction of physical contact, to promote a wider community mentality amongst prisoners who may otherwise be hesitant to accept vaccination.</w:t>
      </w:r>
    </w:p>
    <w:p w14:paraId="0FDE4244" w14:textId="77777777" w:rsidR="00DE703D" w:rsidRDefault="00DE703D" w:rsidP="00DE703D">
      <w:pPr>
        <w:pStyle w:val="ListParagraph"/>
        <w:ind w:left="0"/>
        <w:rPr>
          <w:rFonts w:cstheme="minorHAnsi"/>
        </w:rPr>
      </w:pPr>
    </w:p>
    <w:p w14:paraId="6D200A73" w14:textId="40724140" w:rsidR="00CF3D91" w:rsidRDefault="00CF3D91" w:rsidP="00DE703D">
      <w:pPr>
        <w:pStyle w:val="ListParagraph"/>
        <w:numPr>
          <w:ilvl w:val="1"/>
          <w:numId w:val="32"/>
        </w:numPr>
        <w:ind w:left="0" w:hanging="426"/>
        <w:rPr>
          <w:rFonts w:cstheme="minorHAnsi"/>
        </w:rPr>
      </w:pPr>
      <w:r w:rsidRPr="00DE703D">
        <w:rPr>
          <w:rFonts w:cstheme="minorHAnsi"/>
        </w:rPr>
        <w:t xml:space="preserve">Moving towards recommendations from this review we have seen that a lot of positive work is going on across the estate by healthcare providers and prison staff. </w:t>
      </w:r>
      <w:r w:rsidR="00C54A14" w:rsidRPr="00DE703D">
        <w:rPr>
          <w:rFonts w:cstheme="minorHAnsi"/>
        </w:rPr>
        <w:t>To</w:t>
      </w:r>
      <w:r w:rsidRPr="00DE703D">
        <w:rPr>
          <w:rFonts w:cstheme="minorHAnsi"/>
        </w:rPr>
        <w:t xml:space="preserve"> continue this progress and overcome future obstacles we </w:t>
      </w:r>
      <w:r w:rsidR="00C54A14">
        <w:rPr>
          <w:rFonts w:cstheme="minorHAnsi"/>
        </w:rPr>
        <w:t>plan to conduct</w:t>
      </w:r>
      <w:r w:rsidRPr="00DE703D">
        <w:rPr>
          <w:rFonts w:cstheme="minorHAnsi"/>
        </w:rPr>
        <w:t>:</w:t>
      </w:r>
    </w:p>
    <w:p w14:paraId="0131ED1F" w14:textId="77777777" w:rsidR="00DE703D" w:rsidRPr="00DE703D" w:rsidRDefault="00DE703D" w:rsidP="00DE703D">
      <w:pPr>
        <w:pStyle w:val="ListParagraph"/>
        <w:ind w:left="0"/>
        <w:rPr>
          <w:rFonts w:cstheme="minorHAnsi"/>
        </w:rPr>
      </w:pPr>
    </w:p>
    <w:p w14:paraId="3F2B2722" w14:textId="17F45754" w:rsidR="00651252" w:rsidRPr="00EA76E9" w:rsidRDefault="007071C9" w:rsidP="00DE703D">
      <w:pPr>
        <w:pStyle w:val="ListParagraph"/>
        <w:numPr>
          <w:ilvl w:val="0"/>
          <w:numId w:val="30"/>
        </w:numPr>
        <w:spacing w:line="257" w:lineRule="auto"/>
        <w:ind w:left="284" w:hanging="284"/>
        <w:rPr>
          <w:rFonts w:eastAsiaTheme="minorEastAsia" w:cstheme="minorHAnsi"/>
        </w:rPr>
      </w:pPr>
      <w:r>
        <w:rPr>
          <w:rFonts w:eastAsia="Calibri" w:cstheme="minorHAnsi"/>
        </w:rPr>
        <w:t>F</w:t>
      </w:r>
      <w:r w:rsidR="00651252" w:rsidRPr="00EA76E9">
        <w:rPr>
          <w:rFonts w:eastAsia="Calibri" w:cstheme="minorHAnsi"/>
        </w:rPr>
        <w:t>urther explorative work into female refusal rates in custody compared to higher rates in the community</w:t>
      </w:r>
      <w:r w:rsidR="00C54A14">
        <w:rPr>
          <w:rFonts w:eastAsia="Calibri" w:cstheme="minorHAnsi"/>
        </w:rPr>
        <w:t>, with a view to</w:t>
      </w:r>
      <w:r w:rsidR="00651252" w:rsidRPr="00EA76E9">
        <w:rPr>
          <w:rFonts w:eastAsia="Calibri" w:cstheme="minorHAnsi"/>
        </w:rPr>
        <w:t xml:space="preserve"> glean some best practices that could be used across the estate.</w:t>
      </w:r>
    </w:p>
    <w:p w14:paraId="7589116D" w14:textId="0A84695D" w:rsidR="00651252" w:rsidRPr="00EA76E9" w:rsidRDefault="00651252" w:rsidP="00DE703D">
      <w:pPr>
        <w:pStyle w:val="ListParagraph"/>
        <w:numPr>
          <w:ilvl w:val="0"/>
          <w:numId w:val="30"/>
        </w:numPr>
        <w:spacing w:line="257" w:lineRule="auto"/>
        <w:ind w:left="284" w:hanging="284"/>
        <w:rPr>
          <w:rFonts w:eastAsiaTheme="minorEastAsia" w:cstheme="minorHAnsi"/>
        </w:rPr>
      </w:pPr>
      <w:r w:rsidRPr="00EA76E9">
        <w:rPr>
          <w:rFonts w:eastAsia="Calibri" w:cstheme="minorHAnsi"/>
        </w:rPr>
        <w:t>Further explorative work into BAME Healthcare staff and the correlation between BAME vaccine uptake in custody</w:t>
      </w:r>
      <w:r w:rsidR="0043255C">
        <w:rPr>
          <w:rFonts w:eastAsia="Calibri" w:cstheme="minorHAnsi"/>
        </w:rPr>
        <w:t>, a</w:t>
      </w:r>
      <w:r w:rsidRPr="00EA76E9">
        <w:rPr>
          <w:rFonts w:eastAsia="Calibri" w:cstheme="minorHAnsi"/>
        </w:rPr>
        <w:t xml:space="preserve">s seen at </w:t>
      </w:r>
      <w:r w:rsidR="00E2407F">
        <w:rPr>
          <w:rFonts w:eastAsia="Calibri" w:cstheme="minorHAnsi"/>
        </w:rPr>
        <w:t xml:space="preserve">HMP </w:t>
      </w:r>
      <w:r w:rsidRPr="00EA76E9">
        <w:rPr>
          <w:rFonts w:eastAsia="Calibri" w:cstheme="minorHAnsi"/>
        </w:rPr>
        <w:t xml:space="preserve">Thameside. </w:t>
      </w:r>
    </w:p>
    <w:p w14:paraId="266E66C7" w14:textId="161B7EC1" w:rsidR="00651252" w:rsidRPr="00EA76E9" w:rsidRDefault="00651252" w:rsidP="00DE703D">
      <w:pPr>
        <w:pStyle w:val="ListParagraph"/>
        <w:numPr>
          <w:ilvl w:val="0"/>
          <w:numId w:val="30"/>
        </w:numPr>
        <w:spacing w:line="257" w:lineRule="auto"/>
        <w:ind w:left="284" w:hanging="284"/>
        <w:rPr>
          <w:rFonts w:eastAsiaTheme="minorEastAsia" w:cstheme="minorHAnsi"/>
        </w:rPr>
      </w:pPr>
      <w:r w:rsidRPr="00EA76E9">
        <w:rPr>
          <w:rFonts w:eastAsia="Calibri" w:cstheme="minorHAnsi"/>
        </w:rPr>
        <w:t xml:space="preserve">Consistent and accurate communication to address existing and emerging fears in line with the current staff and prisoner </w:t>
      </w:r>
      <w:r w:rsidR="00E2407F">
        <w:rPr>
          <w:rFonts w:eastAsia="Calibri" w:cstheme="minorHAnsi"/>
        </w:rPr>
        <w:t>n</w:t>
      </w:r>
      <w:r w:rsidRPr="00EA76E9">
        <w:rPr>
          <w:rFonts w:eastAsia="Calibri" w:cstheme="minorHAnsi"/>
        </w:rPr>
        <w:t xml:space="preserve">ewsletters. </w:t>
      </w:r>
    </w:p>
    <w:p w14:paraId="7469B496" w14:textId="31069C1A" w:rsidR="00651252" w:rsidRPr="00EA76E9" w:rsidRDefault="00651252" w:rsidP="00DE703D">
      <w:pPr>
        <w:pStyle w:val="ListParagraph"/>
        <w:numPr>
          <w:ilvl w:val="0"/>
          <w:numId w:val="30"/>
        </w:numPr>
        <w:spacing w:line="257" w:lineRule="auto"/>
        <w:ind w:left="284" w:hanging="284"/>
        <w:rPr>
          <w:rFonts w:eastAsiaTheme="minorEastAsia" w:cstheme="minorHAnsi"/>
        </w:rPr>
      </w:pPr>
      <w:r w:rsidRPr="00EA76E9">
        <w:rPr>
          <w:rFonts w:eastAsia="Calibri" w:cstheme="minorHAnsi"/>
        </w:rPr>
        <w:t>Specific comm</w:t>
      </w:r>
      <w:r w:rsidR="00E2407F">
        <w:rPr>
          <w:rFonts w:eastAsia="Calibri" w:cstheme="minorHAnsi"/>
        </w:rPr>
        <w:t>unication</w:t>
      </w:r>
      <w:r w:rsidRPr="00EA76E9">
        <w:rPr>
          <w:rFonts w:eastAsia="Calibri" w:cstheme="minorHAnsi"/>
        </w:rPr>
        <w:t>s to address the upcoming cohorts, namely young people.</w:t>
      </w:r>
    </w:p>
    <w:p w14:paraId="1641C599" w14:textId="77777777" w:rsidR="00651252" w:rsidRPr="00EA76E9" w:rsidRDefault="00651252" w:rsidP="00DE703D">
      <w:pPr>
        <w:pStyle w:val="ListParagraph"/>
        <w:numPr>
          <w:ilvl w:val="0"/>
          <w:numId w:val="30"/>
        </w:numPr>
        <w:spacing w:line="257" w:lineRule="auto"/>
        <w:ind w:left="284" w:hanging="284"/>
        <w:rPr>
          <w:rFonts w:eastAsiaTheme="minorEastAsia" w:cstheme="minorHAnsi"/>
        </w:rPr>
      </w:pPr>
      <w:r w:rsidRPr="00EA76E9">
        <w:rPr>
          <w:rFonts w:eastAsia="Calibri" w:cstheme="minorHAnsi"/>
        </w:rPr>
        <w:t>A strategic approach in harnessing peer influence/support.</w:t>
      </w:r>
    </w:p>
    <w:p w14:paraId="15A1DA55" w14:textId="77777777" w:rsidR="00651252" w:rsidRDefault="00651252" w:rsidP="00CF3D91">
      <w:pPr>
        <w:rPr>
          <w:rFonts w:cstheme="minorHAnsi"/>
          <w:sz w:val="24"/>
          <w:szCs w:val="24"/>
        </w:rPr>
      </w:pPr>
    </w:p>
    <w:p w14:paraId="0E802EAD" w14:textId="33CF5D5F" w:rsidR="00651252" w:rsidRPr="00CF3D91" w:rsidRDefault="00C54A14" w:rsidP="00CF3D91">
      <w:pPr>
        <w:rPr>
          <w:rFonts w:cstheme="minorHAnsi"/>
          <w:sz w:val="24"/>
          <w:szCs w:val="24"/>
        </w:rPr>
        <w:sectPr w:rsidR="00651252" w:rsidRPr="00CF3D91" w:rsidSect="00322BEC">
          <w:pgSz w:w="11906" w:h="16838" w:code="9"/>
          <w:pgMar w:top="1134" w:right="1440" w:bottom="993" w:left="1440" w:header="709" w:footer="709" w:gutter="0"/>
          <w:cols w:space="708"/>
          <w:docGrid w:linePitch="360"/>
        </w:sectPr>
      </w:pPr>
      <w:r w:rsidRPr="00C54A14">
        <w:rPr>
          <w:rFonts w:cstheme="minorHAnsi"/>
          <w:i/>
          <w:iCs/>
        </w:rPr>
        <w:t xml:space="preserve">HMPPS Vaccines Team would like to take this opportunity to thank </w:t>
      </w:r>
      <w:r>
        <w:rPr>
          <w:rFonts w:cstheme="minorHAnsi"/>
          <w:i/>
          <w:iCs/>
        </w:rPr>
        <w:t xml:space="preserve">the </w:t>
      </w:r>
      <w:r w:rsidRPr="00C54A14">
        <w:rPr>
          <w:rFonts w:cstheme="minorHAnsi"/>
          <w:i/>
          <w:iCs/>
        </w:rPr>
        <w:t>prisons and local healthcare providers who contributed to this thematic revie</w:t>
      </w:r>
      <w:r w:rsidR="00FD37CD">
        <w:rPr>
          <w:rFonts w:cstheme="minorHAnsi"/>
          <w:i/>
          <w:iCs/>
        </w:rPr>
        <w:t>w.</w:t>
      </w:r>
    </w:p>
    <w:p w14:paraId="66D62E7D" w14:textId="012F8D5C" w:rsidR="000C2FD3" w:rsidRPr="000C2FD3" w:rsidRDefault="000C2FD3" w:rsidP="000C2FD3">
      <w:pPr>
        <w:rPr>
          <w:i/>
          <w:iCs/>
          <w:sz w:val="24"/>
          <w:szCs w:val="24"/>
        </w:rPr>
      </w:pPr>
    </w:p>
    <w:sectPr w:rsidR="000C2FD3" w:rsidRPr="000C2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AFB1" w14:textId="77777777" w:rsidR="00926F36" w:rsidRDefault="00926F36" w:rsidP="00A178A7">
      <w:pPr>
        <w:spacing w:after="0" w:line="240" w:lineRule="auto"/>
      </w:pPr>
      <w:r>
        <w:separator/>
      </w:r>
    </w:p>
  </w:endnote>
  <w:endnote w:type="continuationSeparator" w:id="0">
    <w:p w14:paraId="6BF01C45" w14:textId="77777777" w:rsidR="00926F36" w:rsidRDefault="00926F36" w:rsidP="00A178A7">
      <w:pPr>
        <w:spacing w:after="0" w:line="240" w:lineRule="auto"/>
      </w:pPr>
      <w:r>
        <w:continuationSeparator/>
      </w:r>
    </w:p>
  </w:endnote>
  <w:endnote w:type="continuationNotice" w:id="1">
    <w:p w14:paraId="4DE22B86" w14:textId="77777777" w:rsidR="00926F36" w:rsidRDefault="00926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DD8B" w14:textId="77777777" w:rsidR="00926F36" w:rsidRDefault="00926F36" w:rsidP="00A178A7">
      <w:pPr>
        <w:spacing w:after="0" w:line="240" w:lineRule="auto"/>
      </w:pPr>
      <w:r>
        <w:separator/>
      </w:r>
    </w:p>
  </w:footnote>
  <w:footnote w:type="continuationSeparator" w:id="0">
    <w:p w14:paraId="095816B7" w14:textId="77777777" w:rsidR="00926F36" w:rsidRDefault="00926F36" w:rsidP="00A178A7">
      <w:pPr>
        <w:spacing w:after="0" w:line="240" w:lineRule="auto"/>
      </w:pPr>
      <w:r>
        <w:continuationSeparator/>
      </w:r>
    </w:p>
  </w:footnote>
  <w:footnote w:type="continuationNotice" w:id="1">
    <w:p w14:paraId="37024373" w14:textId="77777777" w:rsidR="00926F36" w:rsidRDefault="00926F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93"/>
    <w:multiLevelType w:val="hybridMultilevel"/>
    <w:tmpl w:val="EB6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72C9"/>
    <w:multiLevelType w:val="hybridMultilevel"/>
    <w:tmpl w:val="C0FC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1B53"/>
    <w:multiLevelType w:val="hybridMultilevel"/>
    <w:tmpl w:val="FFFFFFFF"/>
    <w:lvl w:ilvl="0" w:tplc="F8BCE98C">
      <w:start w:val="1"/>
      <w:numFmt w:val="bullet"/>
      <w:lvlText w:val=""/>
      <w:lvlJc w:val="left"/>
      <w:pPr>
        <w:ind w:left="720" w:hanging="360"/>
      </w:pPr>
      <w:rPr>
        <w:rFonts w:ascii="Symbol" w:hAnsi="Symbol" w:hint="default"/>
      </w:rPr>
    </w:lvl>
    <w:lvl w:ilvl="1" w:tplc="609EF414">
      <w:start w:val="1"/>
      <w:numFmt w:val="bullet"/>
      <w:lvlText w:val="o"/>
      <w:lvlJc w:val="left"/>
      <w:pPr>
        <w:ind w:left="1440" w:hanging="360"/>
      </w:pPr>
      <w:rPr>
        <w:rFonts w:ascii="Courier New" w:hAnsi="Courier New" w:hint="default"/>
      </w:rPr>
    </w:lvl>
    <w:lvl w:ilvl="2" w:tplc="50B00150">
      <w:start w:val="1"/>
      <w:numFmt w:val="bullet"/>
      <w:lvlText w:val=""/>
      <w:lvlJc w:val="left"/>
      <w:pPr>
        <w:ind w:left="2160" w:hanging="360"/>
      </w:pPr>
      <w:rPr>
        <w:rFonts w:ascii="Wingdings" w:hAnsi="Wingdings" w:hint="default"/>
      </w:rPr>
    </w:lvl>
    <w:lvl w:ilvl="3" w:tplc="BB064C22">
      <w:start w:val="1"/>
      <w:numFmt w:val="bullet"/>
      <w:lvlText w:val=""/>
      <w:lvlJc w:val="left"/>
      <w:pPr>
        <w:ind w:left="2880" w:hanging="360"/>
      </w:pPr>
      <w:rPr>
        <w:rFonts w:ascii="Symbol" w:hAnsi="Symbol" w:hint="default"/>
      </w:rPr>
    </w:lvl>
    <w:lvl w:ilvl="4" w:tplc="34C48C64">
      <w:start w:val="1"/>
      <w:numFmt w:val="bullet"/>
      <w:lvlText w:val="o"/>
      <w:lvlJc w:val="left"/>
      <w:pPr>
        <w:ind w:left="3600" w:hanging="360"/>
      </w:pPr>
      <w:rPr>
        <w:rFonts w:ascii="Courier New" w:hAnsi="Courier New" w:hint="default"/>
      </w:rPr>
    </w:lvl>
    <w:lvl w:ilvl="5" w:tplc="4932642C">
      <w:start w:val="1"/>
      <w:numFmt w:val="bullet"/>
      <w:lvlText w:val=""/>
      <w:lvlJc w:val="left"/>
      <w:pPr>
        <w:ind w:left="4320" w:hanging="360"/>
      </w:pPr>
      <w:rPr>
        <w:rFonts w:ascii="Wingdings" w:hAnsi="Wingdings" w:hint="default"/>
      </w:rPr>
    </w:lvl>
    <w:lvl w:ilvl="6" w:tplc="589E1C50">
      <w:start w:val="1"/>
      <w:numFmt w:val="bullet"/>
      <w:lvlText w:val=""/>
      <w:lvlJc w:val="left"/>
      <w:pPr>
        <w:ind w:left="5040" w:hanging="360"/>
      </w:pPr>
      <w:rPr>
        <w:rFonts w:ascii="Symbol" w:hAnsi="Symbol" w:hint="default"/>
      </w:rPr>
    </w:lvl>
    <w:lvl w:ilvl="7" w:tplc="8242BAF6">
      <w:start w:val="1"/>
      <w:numFmt w:val="bullet"/>
      <w:lvlText w:val="o"/>
      <w:lvlJc w:val="left"/>
      <w:pPr>
        <w:ind w:left="5760" w:hanging="360"/>
      </w:pPr>
      <w:rPr>
        <w:rFonts w:ascii="Courier New" w:hAnsi="Courier New" w:hint="default"/>
      </w:rPr>
    </w:lvl>
    <w:lvl w:ilvl="8" w:tplc="2252F0AA">
      <w:start w:val="1"/>
      <w:numFmt w:val="bullet"/>
      <w:lvlText w:val=""/>
      <w:lvlJc w:val="left"/>
      <w:pPr>
        <w:ind w:left="6480" w:hanging="360"/>
      </w:pPr>
      <w:rPr>
        <w:rFonts w:ascii="Wingdings" w:hAnsi="Wingdings" w:hint="default"/>
      </w:rPr>
    </w:lvl>
  </w:abstractNum>
  <w:abstractNum w:abstractNumId="3" w15:restartNumberingAfterBreak="0">
    <w:nsid w:val="0AAF09D6"/>
    <w:multiLevelType w:val="hybridMultilevel"/>
    <w:tmpl w:val="06CC26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2E6481D"/>
    <w:multiLevelType w:val="hybridMultilevel"/>
    <w:tmpl w:val="E70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658B"/>
    <w:multiLevelType w:val="hybridMultilevel"/>
    <w:tmpl w:val="CD62AC8A"/>
    <w:lvl w:ilvl="0" w:tplc="9D4CF5E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A4E21"/>
    <w:multiLevelType w:val="hybridMultilevel"/>
    <w:tmpl w:val="333CD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44F9D"/>
    <w:multiLevelType w:val="hybridMultilevel"/>
    <w:tmpl w:val="E50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C2A2A"/>
    <w:multiLevelType w:val="hybridMultilevel"/>
    <w:tmpl w:val="A804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D00E8"/>
    <w:multiLevelType w:val="hybridMultilevel"/>
    <w:tmpl w:val="CEB8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3343B"/>
    <w:multiLevelType w:val="hybridMultilevel"/>
    <w:tmpl w:val="074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25B6F"/>
    <w:multiLevelType w:val="hybridMultilevel"/>
    <w:tmpl w:val="0070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C2B71"/>
    <w:multiLevelType w:val="hybridMultilevel"/>
    <w:tmpl w:val="8748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275B7"/>
    <w:multiLevelType w:val="hybridMultilevel"/>
    <w:tmpl w:val="6ABE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C221F"/>
    <w:multiLevelType w:val="hybridMultilevel"/>
    <w:tmpl w:val="882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23002"/>
    <w:multiLevelType w:val="hybridMultilevel"/>
    <w:tmpl w:val="4554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B6628"/>
    <w:multiLevelType w:val="multilevel"/>
    <w:tmpl w:val="A9D6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84554"/>
    <w:multiLevelType w:val="hybridMultilevel"/>
    <w:tmpl w:val="E3C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A4484"/>
    <w:multiLevelType w:val="hybridMultilevel"/>
    <w:tmpl w:val="874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67CAE"/>
    <w:multiLevelType w:val="hybridMultilevel"/>
    <w:tmpl w:val="D308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D2FDD"/>
    <w:multiLevelType w:val="hybridMultilevel"/>
    <w:tmpl w:val="AA3E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31447"/>
    <w:multiLevelType w:val="hybridMultilevel"/>
    <w:tmpl w:val="5BB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3131"/>
    <w:multiLevelType w:val="hybridMultilevel"/>
    <w:tmpl w:val="BF0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91F28"/>
    <w:multiLevelType w:val="multilevel"/>
    <w:tmpl w:val="D6C24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61A0C95"/>
    <w:multiLevelType w:val="hybridMultilevel"/>
    <w:tmpl w:val="E66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5510"/>
    <w:multiLevelType w:val="hybridMultilevel"/>
    <w:tmpl w:val="FFFFFFFF"/>
    <w:lvl w:ilvl="0" w:tplc="1A9AFB0C">
      <w:start w:val="1"/>
      <w:numFmt w:val="bullet"/>
      <w:lvlText w:val="·"/>
      <w:lvlJc w:val="left"/>
      <w:pPr>
        <w:ind w:left="720" w:hanging="360"/>
      </w:pPr>
      <w:rPr>
        <w:rFonts w:ascii="Symbol" w:hAnsi="Symbol" w:hint="default"/>
      </w:rPr>
    </w:lvl>
    <w:lvl w:ilvl="1" w:tplc="918E8C7C">
      <w:start w:val="1"/>
      <w:numFmt w:val="bullet"/>
      <w:lvlText w:val="o"/>
      <w:lvlJc w:val="left"/>
      <w:pPr>
        <w:ind w:left="1440" w:hanging="360"/>
      </w:pPr>
      <w:rPr>
        <w:rFonts w:ascii="Courier New" w:hAnsi="Courier New" w:hint="default"/>
      </w:rPr>
    </w:lvl>
    <w:lvl w:ilvl="2" w:tplc="1DB40056">
      <w:start w:val="1"/>
      <w:numFmt w:val="bullet"/>
      <w:lvlText w:val=""/>
      <w:lvlJc w:val="left"/>
      <w:pPr>
        <w:ind w:left="2160" w:hanging="360"/>
      </w:pPr>
      <w:rPr>
        <w:rFonts w:ascii="Wingdings" w:hAnsi="Wingdings" w:hint="default"/>
      </w:rPr>
    </w:lvl>
    <w:lvl w:ilvl="3" w:tplc="4AA6452E">
      <w:start w:val="1"/>
      <w:numFmt w:val="bullet"/>
      <w:lvlText w:val=""/>
      <w:lvlJc w:val="left"/>
      <w:pPr>
        <w:ind w:left="2880" w:hanging="360"/>
      </w:pPr>
      <w:rPr>
        <w:rFonts w:ascii="Symbol" w:hAnsi="Symbol" w:hint="default"/>
      </w:rPr>
    </w:lvl>
    <w:lvl w:ilvl="4" w:tplc="528076EC">
      <w:start w:val="1"/>
      <w:numFmt w:val="bullet"/>
      <w:lvlText w:val="o"/>
      <w:lvlJc w:val="left"/>
      <w:pPr>
        <w:ind w:left="3600" w:hanging="360"/>
      </w:pPr>
      <w:rPr>
        <w:rFonts w:ascii="Courier New" w:hAnsi="Courier New" w:hint="default"/>
      </w:rPr>
    </w:lvl>
    <w:lvl w:ilvl="5" w:tplc="BD2CF414">
      <w:start w:val="1"/>
      <w:numFmt w:val="bullet"/>
      <w:lvlText w:val=""/>
      <w:lvlJc w:val="left"/>
      <w:pPr>
        <w:ind w:left="4320" w:hanging="360"/>
      </w:pPr>
      <w:rPr>
        <w:rFonts w:ascii="Wingdings" w:hAnsi="Wingdings" w:hint="default"/>
      </w:rPr>
    </w:lvl>
    <w:lvl w:ilvl="6" w:tplc="6B5E81E4">
      <w:start w:val="1"/>
      <w:numFmt w:val="bullet"/>
      <w:lvlText w:val=""/>
      <w:lvlJc w:val="left"/>
      <w:pPr>
        <w:ind w:left="5040" w:hanging="360"/>
      </w:pPr>
      <w:rPr>
        <w:rFonts w:ascii="Symbol" w:hAnsi="Symbol" w:hint="default"/>
      </w:rPr>
    </w:lvl>
    <w:lvl w:ilvl="7" w:tplc="821E5206">
      <w:start w:val="1"/>
      <w:numFmt w:val="bullet"/>
      <w:lvlText w:val="o"/>
      <w:lvlJc w:val="left"/>
      <w:pPr>
        <w:ind w:left="5760" w:hanging="360"/>
      </w:pPr>
      <w:rPr>
        <w:rFonts w:ascii="Courier New" w:hAnsi="Courier New" w:hint="default"/>
      </w:rPr>
    </w:lvl>
    <w:lvl w:ilvl="8" w:tplc="34C4CE32">
      <w:start w:val="1"/>
      <w:numFmt w:val="bullet"/>
      <w:lvlText w:val=""/>
      <w:lvlJc w:val="left"/>
      <w:pPr>
        <w:ind w:left="6480" w:hanging="360"/>
      </w:pPr>
      <w:rPr>
        <w:rFonts w:ascii="Wingdings" w:hAnsi="Wingdings" w:hint="default"/>
      </w:rPr>
    </w:lvl>
  </w:abstractNum>
  <w:abstractNum w:abstractNumId="26" w15:restartNumberingAfterBreak="0">
    <w:nsid w:val="4D881BAD"/>
    <w:multiLevelType w:val="hybridMultilevel"/>
    <w:tmpl w:val="D7E89FD2"/>
    <w:lvl w:ilvl="0" w:tplc="9C6EB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E5E49"/>
    <w:multiLevelType w:val="multilevel"/>
    <w:tmpl w:val="A76C5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711BF9"/>
    <w:multiLevelType w:val="hybridMultilevel"/>
    <w:tmpl w:val="A6EADF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1F964F5"/>
    <w:multiLevelType w:val="hybridMultilevel"/>
    <w:tmpl w:val="945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F1A7E"/>
    <w:multiLevelType w:val="hybridMultilevel"/>
    <w:tmpl w:val="F30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80254"/>
    <w:multiLevelType w:val="hybridMultilevel"/>
    <w:tmpl w:val="EA3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C71D5"/>
    <w:multiLevelType w:val="hybridMultilevel"/>
    <w:tmpl w:val="5D2C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0"/>
  </w:num>
  <w:num w:numId="4">
    <w:abstractNumId w:val="1"/>
  </w:num>
  <w:num w:numId="5">
    <w:abstractNumId w:val="18"/>
  </w:num>
  <w:num w:numId="6">
    <w:abstractNumId w:val="9"/>
  </w:num>
  <w:num w:numId="7">
    <w:abstractNumId w:val="16"/>
  </w:num>
  <w:num w:numId="8">
    <w:abstractNumId w:val="14"/>
  </w:num>
  <w:num w:numId="9">
    <w:abstractNumId w:val="24"/>
  </w:num>
  <w:num w:numId="10">
    <w:abstractNumId w:val="4"/>
  </w:num>
  <w:num w:numId="11">
    <w:abstractNumId w:val="28"/>
  </w:num>
  <w:num w:numId="12">
    <w:abstractNumId w:val="5"/>
  </w:num>
  <w:num w:numId="13">
    <w:abstractNumId w:val="0"/>
  </w:num>
  <w:num w:numId="14">
    <w:abstractNumId w:val="26"/>
  </w:num>
  <w:num w:numId="15">
    <w:abstractNumId w:val="31"/>
  </w:num>
  <w:num w:numId="16">
    <w:abstractNumId w:val="29"/>
  </w:num>
  <w:num w:numId="17">
    <w:abstractNumId w:val="3"/>
  </w:num>
  <w:num w:numId="18">
    <w:abstractNumId w:val="17"/>
  </w:num>
  <w:num w:numId="19">
    <w:abstractNumId w:val="10"/>
  </w:num>
  <w:num w:numId="20">
    <w:abstractNumId w:val="19"/>
  </w:num>
  <w:num w:numId="21">
    <w:abstractNumId w:val="11"/>
  </w:num>
  <w:num w:numId="22">
    <w:abstractNumId w:val="7"/>
  </w:num>
  <w:num w:numId="23">
    <w:abstractNumId w:val="13"/>
  </w:num>
  <w:num w:numId="24">
    <w:abstractNumId w:val="8"/>
  </w:num>
  <w:num w:numId="25">
    <w:abstractNumId w:val="21"/>
  </w:num>
  <w:num w:numId="26">
    <w:abstractNumId w:val="22"/>
  </w:num>
  <w:num w:numId="27">
    <w:abstractNumId w:val="30"/>
  </w:num>
  <w:num w:numId="28">
    <w:abstractNumId w:val="2"/>
  </w:num>
  <w:num w:numId="29">
    <w:abstractNumId w:val="32"/>
  </w:num>
  <w:num w:numId="30">
    <w:abstractNumId w:val="25"/>
  </w:num>
  <w:num w:numId="31">
    <w:abstractNumId w:val="27"/>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F8"/>
    <w:rsid w:val="000008F1"/>
    <w:rsid w:val="00000BE0"/>
    <w:rsid w:val="00003112"/>
    <w:rsid w:val="00003590"/>
    <w:rsid w:val="00003E3C"/>
    <w:rsid w:val="00003EFE"/>
    <w:rsid w:val="00007F5A"/>
    <w:rsid w:val="000118AE"/>
    <w:rsid w:val="00011971"/>
    <w:rsid w:val="00012427"/>
    <w:rsid w:val="000152B0"/>
    <w:rsid w:val="000239D2"/>
    <w:rsid w:val="000262B6"/>
    <w:rsid w:val="00027BFD"/>
    <w:rsid w:val="00030ED5"/>
    <w:rsid w:val="0003217B"/>
    <w:rsid w:val="000328FF"/>
    <w:rsid w:val="000347D8"/>
    <w:rsid w:val="0003640A"/>
    <w:rsid w:val="00040237"/>
    <w:rsid w:val="00040F8E"/>
    <w:rsid w:val="00043060"/>
    <w:rsid w:val="0004686B"/>
    <w:rsid w:val="0004709C"/>
    <w:rsid w:val="00047BAF"/>
    <w:rsid w:val="00050288"/>
    <w:rsid w:val="00050D8B"/>
    <w:rsid w:val="00051B27"/>
    <w:rsid w:val="00051CFF"/>
    <w:rsid w:val="00051FC3"/>
    <w:rsid w:val="0005252E"/>
    <w:rsid w:val="0005439A"/>
    <w:rsid w:val="00054486"/>
    <w:rsid w:val="00055005"/>
    <w:rsid w:val="00056C4C"/>
    <w:rsid w:val="00060635"/>
    <w:rsid w:val="00071C28"/>
    <w:rsid w:val="00072ED2"/>
    <w:rsid w:val="00073F75"/>
    <w:rsid w:val="00077EC1"/>
    <w:rsid w:val="0008061C"/>
    <w:rsid w:val="00080C04"/>
    <w:rsid w:val="00083546"/>
    <w:rsid w:val="000838CB"/>
    <w:rsid w:val="000843CF"/>
    <w:rsid w:val="00086D07"/>
    <w:rsid w:val="00093915"/>
    <w:rsid w:val="000953BF"/>
    <w:rsid w:val="000A2001"/>
    <w:rsid w:val="000A463B"/>
    <w:rsid w:val="000A478B"/>
    <w:rsid w:val="000B0BA8"/>
    <w:rsid w:val="000B1D0F"/>
    <w:rsid w:val="000B2F5D"/>
    <w:rsid w:val="000B474A"/>
    <w:rsid w:val="000B700A"/>
    <w:rsid w:val="000C039A"/>
    <w:rsid w:val="000C1724"/>
    <w:rsid w:val="000C2FD3"/>
    <w:rsid w:val="000C354D"/>
    <w:rsid w:val="000C5C69"/>
    <w:rsid w:val="000C5E4E"/>
    <w:rsid w:val="000D1758"/>
    <w:rsid w:val="000D26ED"/>
    <w:rsid w:val="000D360B"/>
    <w:rsid w:val="000D3A51"/>
    <w:rsid w:val="000E0030"/>
    <w:rsid w:val="000E0BE0"/>
    <w:rsid w:val="000E4E6F"/>
    <w:rsid w:val="000E6888"/>
    <w:rsid w:val="000F0DF3"/>
    <w:rsid w:val="000F21F8"/>
    <w:rsid w:val="000F30BB"/>
    <w:rsid w:val="000F3E98"/>
    <w:rsid w:val="000F706A"/>
    <w:rsid w:val="000F7CF6"/>
    <w:rsid w:val="00101231"/>
    <w:rsid w:val="00101C66"/>
    <w:rsid w:val="0010311A"/>
    <w:rsid w:val="00103FF9"/>
    <w:rsid w:val="0010425D"/>
    <w:rsid w:val="001054A7"/>
    <w:rsid w:val="001058C6"/>
    <w:rsid w:val="0011034F"/>
    <w:rsid w:val="001103D7"/>
    <w:rsid w:val="00110807"/>
    <w:rsid w:val="00110C13"/>
    <w:rsid w:val="001141A2"/>
    <w:rsid w:val="00116496"/>
    <w:rsid w:val="00121969"/>
    <w:rsid w:val="001225F2"/>
    <w:rsid w:val="00122875"/>
    <w:rsid w:val="001228F4"/>
    <w:rsid w:val="0012308B"/>
    <w:rsid w:val="001247CD"/>
    <w:rsid w:val="00126B4D"/>
    <w:rsid w:val="0013224F"/>
    <w:rsid w:val="001344D1"/>
    <w:rsid w:val="00135814"/>
    <w:rsid w:val="00135DE9"/>
    <w:rsid w:val="0014018D"/>
    <w:rsid w:val="001426B8"/>
    <w:rsid w:val="00156A8D"/>
    <w:rsid w:val="00162037"/>
    <w:rsid w:val="00162BB2"/>
    <w:rsid w:val="0016576E"/>
    <w:rsid w:val="00165C27"/>
    <w:rsid w:val="00166E59"/>
    <w:rsid w:val="00172CB8"/>
    <w:rsid w:val="001740A5"/>
    <w:rsid w:val="00175034"/>
    <w:rsid w:val="00175884"/>
    <w:rsid w:val="001765E1"/>
    <w:rsid w:val="00180B28"/>
    <w:rsid w:val="00181587"/>
    <w:rsid w:val="001833FF"/>
    <w:rsid w:val="0018356F"/>
    <w:rsid w:val="0018358C"/>
    <w:rsid w:val="001853C6"/>
    <w:rsid w:val="00185C88"/>
    <w:rsid w:val="0018664D"/>
    <w:rsid w:val="00186B88"/>
    <w:rsid w:val="00190289"/>
    <w:rsid w:val="00193A14"/>
    <w:rsid w:val="00196325"/>
    <w:rsid w:val="00197985"/>
    <w:rsid w:val="001A13DC"/>
    <w:rsid w:val="001A299C"/>
    <w:rsid w:val="001A3378"/>
    <w:rsid w:val="001A365F"/>
    <w:rsid w:val="001A4CFE"/>
    <w:rsid w:val="001B1D6B"/>
    <w:rsid w:val="001B3304"/>
    <w:rsid w:val="001B3663"/>
    <w:rsid w:val="001B4C68"/>
    <w:rsid w:val="001B58EB"/>
    <w:rsid w:val="001B58F6"/>
    <w:rsid w:val="001B61CE"/>
    <w:rsid w:val="001C0E34"/>
    <w:rsid w:val="001C1E98"/>
    <w:rsid w:val="001C62DF"/>
    <w:rsid w:val="001C72B7"/>
    <w:rsid w:val="001C7C82"/>
    <w:rsid w:val="001D39BF"/>
    <w:rsid w:val="001D7C45"/>
    <w:rsid w:val="001E174E"/>
    <w:rsid w:val="001E2B52"/>
    <w:rsid w:val="001E309B"/>
    <w:rsid w:val="001E6BA4"/>
    <w:rsid w:val="001F1B27"/>
    <w:rsid w:val="001F3277"/>
    <w:rsid w:val="001F3F5A"/>
    <w:rsid w:val="001F5045"/>
    <w:rsid w:val="001F70FE"/>
    <w:rsid w:val="00202407"/>
    <w:rsid w:val="0020278B"/>
    <w:rsid w:val="00203C4E"/>
    <w:rsid w:val="00211572"/>
    <w:rsid w:val="00212AF8"/>
    <w:rsid w:val="00213B6D"/>
    <w:rsid w:val="002239F2"/>
    <w:rsid w:val="00224A4C"/>
    <w:rsid w:val="00225014"/>
    <w:rsid w:val="0023295F"/>
    <w:rsid w:val="00232C7C"/>
    <w:rsid w:val="002358CB"/>
    <w:rsid w:val="00237BFF"/>
    <w:rsid w:val="00242201"/>
    <w:rsid w:val="00243716"/>
    <w:rsid w:val="002446BD"/>
    <w:rsid w:val="0024698B"/>
    <w:rsid w:val="00247024"/>
    <w:rsid w:val="002477F9"/>
    <w:rsid w:val="00247BBE"/>
    <w:rsid w:val="002563BF"/>
    <w:rsid w:val="00256632"/>
    <w:rsid w:val="002603ED"/>
    <w:rsid w:val="00262539"/>
    <w:rsid w:val="00265C58"/>
    <w:rsid w:val="00266F8C"/>
    <w:rsid w:val="00267C45"/>
    <w:rsid w:val="00271611"/>
    <w:rsid w:val="00271F2E"/>
    <w:rsid w:val="00271F6D"/>
    <w:rsid w:val="00275A76"/>
    <w:rsid w:val="00277ABF"/>
    <w:rsid w:val="0028127A"/>
    <w:rsid w:val="00281BF5"/>
    <w:rsid w:val="00282761"/>
    <w:rsid w:val="0028475F"/>
    <w:rsid w:val="0028537B"/>
    <w:rsid w:val="00285EAF"/>
    <w:rsid w:val="00290D7B"/>
    <w:rsid w:val="00293472"/>
    <w:rsid w:val="0029430E"/>
    <w:rsid w:val="00294B74"/>
    <w:rsid w:val="002977BD"/>
    <w:rsid w:val="00297CBA"/>
    <w:rsid w:val="00297CBF"/>
    <w:rsid w:val="002A21A6"/>
    <w:rsid w:val="002A42F9"/>
    <w:rsid w:val="002A4449"/>
    <w:rsid w:val="002A4B93"/>
    <w:rsid w:val="002A4D2F"/>
    <w:rsid w:val="002A4ED0"/>
    <w:rsid w:val="002A4F70"/>
    <w:rsid w:val="002A51DA"/>
    <w:rsid w:val="002A54A4"/>
    <w:rsid w:val="002A55B0"/>
    <w:rsid w:val="002A5B44"/>
    <w:rsid w:val="002B0DB7"/>
    <w:rsid w:val="002B39C5"/>
    <w:rsid w:val="002B3AD4"/>
    <w:rsid w:val="002B73BC"/>
    <w:rsid w:val="002C2305"/>
    <w:rsid w:val="002C287E"/>
    <w:rsid w:val="002C3545"/>
    <w:rsid w:val="002C3D3D"/>
    <w:rsid w:val="002C4155"/>
    <w:rsid w:val="002C6F4E"/>
    <w:rsid w:val="002D02FE"/>
    <w:rsid w:val="002D222D"/>
    <w:rsid w:val="002D37A7"/>
    <w:rsid w:val="002D44DE"/>
    <w:rsid w:val="002D4A04"/>
    <w:rsid w:val="002D4C31"/>
    <w:rsid w:val="002D4EC0"/>
    <w:rsid w:val="002D4F22"/>
    <w:rsid w:val="002D6BCA"/>
    <w:rsid w:val="002E0C64"/>
    <w:rsid w:val="002E271D"/>
    <w:rsid w:val="002E3DCF"/>
    <w:rsid w:val="002E6D1D"/>
    <w:rsid w:val="002E7116"/>
    <w:rsid w:val="002F1443"/>
    <w:rsid w:val="002F1CEC"/>
    <w:rsid w:val="002F3B75"/>
    <w:rsid w:val="002F6B4F"/>
    <w:rsid w:val="002F78A1"/>
    <w:rsid w:val="00304818"/>
    <w:rsid w:val="00304C94"/>
    <w:rsid w:val="00305CF9"/>
    <w:rsid w:val="00307820"/>
    <w:rsid w:val="00307D56"/>
    <w:rsid w:val="003118B8"/>
    <w:rsid w:val="003141B0"/>
    <w:rsid w:val="00315E7A"/>
    <w:rsid w:val="0032018B"/>
    <w:rsid w:val="00320E45"/>
    <w:rsid w:val="00322BEC"/>
    <w:rsid w:val="0032639E"/>
    <w:rsid w:val="00326B43"/>
    <w:rsid w:val="00331C87"/>
    <w:rsid w:val="00336B27"/>
    <w:rsid w:val="003379E3"/>
    <w:rsid w:val="00341FB0"/>
    <w:rsid w:val="0034344A"/>
    <w:rsid w:val="00344AD7"/>
    <w:rsid w:val="00344DE1"/>
    <w:rsid w:val="003461B1"/>
    <w:rsid w:val="0034779B"/>
    <w:rsid w:val="00351B1F"/>
    <w:rsid w:val="00352AD4"/>
    <w:rsid w:val="00353332"/>
    <w:rsid w:val="0035657B"/>
    <w:rsid w:val="00360F08"/>
    <w:rsid w:val="003617EA"/>
    <w:rsid w:val="00363294"/>
    <w:rsid w:val="003642B2"/>
    <w:rsid w:val="00367060"/>
    <w:rsid w:val="00370A97"/>
    <w:rsid w:val="00375E00"/>
    <w:rsid w:val="00382141"/>
    <w:rsid w:val="00382216"/>
    <w:rsid w:val="00382249"/>
    <w:rsid w:val="00382B22"/>
    <w:rsid w:val="00383F53"/>
    <w:rsid w:val="00384F03"/>
    <w:rsid w:val="00385A25"/>
    <w:rsid w:val="0038724C"/>
    <w:rsid w:val="003875FB"/>
    <w:rsid w:val="00391FCB"/>
    <w:rsid w:val="00392A4D"/>
    <w:rsid w:val="0039383D"/>
    <w:rsid w:val="00393A99"/>
    <w:rsid w:val="00395BD4"/>
    <w:rsid w:val="00396E97"/>
    <w:rsid w:val="003A04A1"/>
    <w:rsid w:val="003A360C"/>
    <w:rsid w:val="003A3BED"/>
    <w:rsid w:val="003A48FF"/>
    <w:rsid w:val="003B39ED"/>
    <w:rsid w:val="003B3F0D"/>
    <w:rsid w:val="003B4DC2"/>
    <w:rsid w:val="003B6B78"/>
    <w:rsid w:val="003C22FC"/>
    <w:rsid w:val="003C2A92"/>
    <w:rsid w:val="003C3C56"/>
    <w:rsid w:val="003C6266"/>
    <w:rsid w:val="003C665D"/>
    <w:rsid w:val="003C6699"/>
    <w:rsid w:val="003C6888"/>
    <w:rsid w:val="003C7105"/>
    <w:rsid w:val="003C721E"/>
    <w:rsid w:val="003D00C8"/>
    <w:rsid w:val="003D40F4"/>
    <w:rsid w:val="003D5C2E"/>
    <w:rsid w:val="003E0EF0"/>
    <w:rsid w:val="003E2FBE"/>
    <w:rsid w:val="003E36A4"/>
    <w:rsid w:val="003E45A9"/>
    <w:rsid w:val="003E71BF"/>
    <w:rsid w:val="003E7547"/>
    <w:rsid w:val="003F10A9"/>
    <w:rsid w:val="003F641D"/>
    <w:rsid w:val="004019D4"/>
    <w:rsid w:val="004029B7"/>
    <w:rsid w:val="00404D6A"/>
    <w:rsid w:val="004050F3"/>
    <w:rsid w:val="00412E11"/>
    <w:rsid w:val="00412F92"/>
    <w:rsid w:val="00413480"/>
    <w:rsid w:val="00415230"/>
    <w:rsid w:val="00415422"/>
    <w:rsid w:val="004157F7"/>
    <w:rsid w:val="004208E9"/>
    <w:rsid w:val="00421808"/>
    <w:rsid w:val="0042257E"/>
    <w:rsid w:val="0042351E"/>
    <w:rsid w:val="00424828"/>
    <w:rsid w:val="004262CA"/>
    <w:rsid w:val="00431C3B"/>
    <w:rsid w:val="004321A6"/>
    <w:rsid w:val="004323D6"/>
    <w:rsid w:val="0043255C"/>
    <w:rsid w:val="00432E25"/>
    <w:rsid w:val="00436C1E"/>
    <w:rsid w:val="004379B2"/>
    <w:rsid w:val="00437AA4"/>
    <w:rsid w:val="00437C9F"/>
    <w:rsid w:val="00441565"/>
    <w:rsid w:val="00444C6B"/>
    <w:rsid w:val="0045269D"/>
    <w:rsid w:val="00452D96"/>
    <w:rsid w:val="00455753"/>
    <w:rsid w:val="00457052"/>
    <w:rsid w:val="0046239A"/>
    <w:rsid w:val="0046429C"/>
    <w:rsid w:val="00464897"/>
    <w:rsid w:val="00465E6B"/>
    <w:rsid w:val="00467D27"/>
    <w:rsid w:val="004762AE"/>
    <w:rsid w:val="00480ADD"/>
    <w:rsid w:val="00484B57"/>
    <w:rsid w:val="00485945"/>
    <w:rsid w:val="00486F81"/>
    <w:rsid w:val="004906DC"/>
    <w:rsid w:val="00491C6C"/>
    <w:rsid w:val="00491DF1"/>
    <w:rsid w:val="00492F55"/>
    <w:rsid w:val="004946E6"/>
    <w:rsid w:val="004949E3"/>
    <w:rsid w:val="00496D2D"/>
    <w:rsid w:val="004A27A9"/>
    <w:rsid w:val="004A7ADF"/>
    <w:rsid w:val="004B00D1"/>
    <w:rsid w:val="004B0318"/>
    <w:rsid w:val="004B0BCD"/>
    <w:rsid w:val="004B1A2C"/>
    <w:rsid w:val="004B447F"/>
    <w:rsid w:val="004B6D7F"/>
    <w:rsid w:val="004B73C6"/>
    <w:rsid w:val="004B7C29"/>
    <w:rsid w:val="004C0914"/>
    <w:rsid w:val="004C0FAA"/>
    <w:rsid w:val="004C127A"/>
    <w:rsid w:val="004C15C7"/>
    <w:rsid w:val="004C1F58"/>
    <w:rsid w:val="004C26B3"/>
    <w:rsid w:val="004C439A"/>
    <w:rsid w:val="004C4EDF"/>
    <w:rsid w:val="004C5D4B"/>
    <w:rsid w:val="004C78FE"/>
    <w:rsid w:val="004D391A"/>
    <w:rsid w:val="004D4FF1"/>
    <w:rsid w:val="004D5B85"/>
    <w:rsid w:val="004D6AED"/>
    <w:rsid w:val="004E1407"/>
    <w:rsid w:val="004E20C8"/>
    <w:rsid w:val="004E2969"/>
    <w:rsid w:val="004E36B4"/>
    <w:rsid w:val="004E43AC"/>
    <w:rsid w:val="004E45AE"/>
    <w:rsid w:val="004E4EAD"/>
    <w:rsid w:val="004E592B"/>
    <w:rsid w:val="004E5978"/>
    <w:rsid w:val="004F1825"/>
    <w:rsid w:val="004F18C9"/>
    <w:rsid w:val="004F1D03"/>
    <w:rsid w:val="004F32D7"/>
    <w:rsid w:val="004F761F"/>
    <w:rsid w:val="004F790D"/>
    <w:rsid w:val="00500CF3"/>
    <w:rsid w:val="005025C7"/>
    <w:rsid w:val="005049BE"/>
    <w:rsid w:val="005074EB"/>
    <w:rsid w:val="005105FC"/>
    <w:rsid w:val="00510B74"/>
    <w:rsid w:val="00514B6E"/>
    <w:rsid w:val="00515F93"/>
    <w:rsid w:val="0052036C"/>
    <w:rsid w:val="00521729"/>
    <w:rsid w:val="00521784"/>
    <w:rsid w:val="00521A69"/>
    <w:rsid w:val="005228C0"/>
    <w:rsid w:val="00527113"/>
    <w:rsid w:val="00527E3A"/>
    <w:rsid w:val="00530CDE"/>
    <w:rsid w:val="00530CF9"/>
    <w:rsid w:val="00533DB8"/>
    <w:rsid w:val="005375A2"/>
    <w:rsid w:val="00537D4D"/>
    <w:rsid w:val="00537F67"/>
    <w:rsid w:val="00541131"/>
    <w:rsid w:val="00541DFE"/>
    <w:rsid w:val="00541ED1"/>
    <w:rsid w:val="00545627"/>
    <w:rsid w:val="005545EB"/>
    <w:rsid w:val="00556988"/>
    <w:rsid w:val="005601AA"/>
    <w:rsid w:val="005643BE"/>
    <w:rsid w:val="00565B68"/>
    <w:rsid w:val="00565E59"/>
    <w:rsid w:val="005676B4"/>
    <w:rsid w:val="00567EAE"/>
    <w:rsid w:val="0057362A"/>
    <w:rsid w:val="005803B6"/>
    <w:rsid w:val="0058146F"/>
    <w:rsid w:val="005841D7"/>
    <w:rsid w:val="005917CE"/>
    <w:rsid w:val="0059358D"/>
    <w:rsid w:val="00594F5B"/>
    <w:rsid w:val="005951EE"/>
    <w:rsid w:val="005959BB"/>
    <w:rsid w:val="00595DCD"/>
    <w:rsid w:val="005A1BE3"/>
    <w:rsid w:val="005A35B6"/>
    <w:rsid w:val="005A4ECD"/>
    <w:rsid w:val="005A590A"/>
    <w:rsid w:val="005B0BEE"/>
    <w:rsid w:val="005B2A1B"/>
    <w:rsid w:val="005B5464"/>
    <w:rsid w:val="005B5ECC"/>
    <w:rsid w:val="005C08C8"/>
    <w:rsid w:val="005C1138"/>
    <w:rsid w:val="005C21BD"/>
    <w:rsid w:val="005C2CDE"/>
    <w:rsid w:val="005C6003"/>
    <w:rsid w:val="005C700E"/>
    <w:rsid w:val="005D79A9"/>
    <w:rsid w:val="005D7C7E"/>
    <w:rsid w:val="005E05FB"/>
    <w:rsid w:val="005E1214"/>
    <w:rsid w:val="005E13F0"/>
    <w:rsid w:val="005E33B9"/>
    <w:rsid w:val="005E46EB"/>
    <w:rsid w:val="005E5BF8"/>
    <w:rsid w:val="005F03D1"/>
    <w:rsid w:val="005F2415"/>
    <w:rsid w:val="005F43CB"/>
    <w:rsid w:val="005F683B"/>
    <w:rsid w:val="005F6C5C"/>
    <w:rsid w:val="005F7739"/>
    <w:rsid w:val="00600FB8"/>
    <w:rsid w:val="00604165"/>
    <w:rsid w:val="006043F7"/>
    <w:rsid w:val="0060460B"/>
    <w:rsid w:val="006075B7"/>
    <w:rsid w:val="00610269"/>
    <w:rsid w:val="00611182"/>
    <w:rsid w:val="00611386"/>
    <w:rsid w:val="006126C3"/>
    <w:rsid w:val="00612ABE"/>
    <w:rsid w:val="00613095"/>
    <w:rsid w:val="00614A4E"/>
    <w:rsid w:val="00620554"/>
    <w:rsid w:val="00621405"/>
    <w:rsid w:val="00622580"/>
    <w:rsid w:val="00626BDB"/>
    <w:rsid w:val="006300A2"/>
    <w:rsid w:val="00630549"/>
    <w:rsid w:val="0063212D"/>
    <w:rsid w:val="006331AC"/>
    <w:rsid w:val="0063398B"/>
    <w:rsid w:val="00634B8A"/>
    <w:rsid w:val="00643AED"/>
    <w:rsid w:val="00643E49"/>
    <w:rsid w:val="006454D4"/>
    <w:rsid w:val="0064581F"/>
    <w:rsid w:val="00646827"/>
    <w:rsid w:val="00647261"/>
    <w:rsid w:val="006478DD"/>
    <w:rsid w:val="00647936"/>
    <w:rsid w:val="00647C0D"/>
    <w:rsid w:val="00651252"/>
    <w:rsid w:val="006515F6"/>
    <w:rsid w:val="006536FC"/>
    <w:rsid w:val="00653DAF"/>
    <w:rsid w:val="006555BE"/>
    <w:rsid w:val="00657A4C"/>
    <w:rsid w:val="006630A5"/>
    <w:rsid w:val="00667080"/>
    <w:rsid w:val="0066712F"/>
    <w:rsid w:val="006677F3"/>
    <w:rsid w:val="00671614"/>
    <w:rsid w:val="00674906"/>
    <w:rsid w:val="00674B74"/>
    <w:rsid w:val="00681432"/>
    <w:rsid w:val="00683691"/>
    <w:rsid w:val="00683BA7"/>
    <w:rsid w:val="0068632C"/>
    <w:rsid w:val="00687C94"/>
    <w:rsid w:val="00692AC5"/>
    <w:rsid w:val="00694390"/>
    <w:rsid w:val="00694755"/>
    <w:rsid w:val="00696E19"/>
    <w:rsid w:val="006979E5"/>
    <w:rsid w:val="006A08CB"/>
    <w:rsid w:val="006A3FE9"/>
    <w:rsid w:val="006A4B08"/>
    <w:rsid w:val="006B1058"/>
    <w:rsid w:val="006B38F4"/>
    <w:rsid w:val="006B39CC"/>
    <w:rsid w:val="006B41B7"/>
    <w:rsid w:val="006B46C3"/>
    <w:rsid w:val="006B569F"/>
    <w:rsid w:val="006B6FBD"/>
    <w:rsid w:val="006B7F00"/>
    <w:rsid w:val="006C29FA"/>
    <w:rsid w:val="006C2DC1"/>
    <w:rsid w:val="006C30E7"/>
    <w:rsid w:val="006C4F46"/>
    <w:rsid w:val="006C567E"/>
    <w:rsid w:val="006C74C1"/>
    <w:rsid w:val="006D0645"/>
    <w:rsid w:val="006D0722"/>
    <w:rsid w:val="006D0758"/>
    <w:rsid w:val="006D0D2B"/>
    <w:rsid w:val="006D5760"/>
    <w:rsid w:val="006D5A61"/>
    <w:rsid w:val="006E1E76"/>
    <w:rsid w:val="006E2CA7"/>
    <w:rsid w:val="006E75A9"/>
    <w:rsid w:val="006F1AD6"/>
    <w:rsid w:val="006F2838"/>
    <w:rsid w:val="006F5584"/>
    <w:rsid w:val="006F6046"/>
    <w:rsid w:val="006F6A23"/>
    <w:rsid w:val="007048C8"/>
    <w:rsid w:val="00704C61"/>
    <w:rsid w:val="007071C9"/>
    <w:rsid w:val="00711960"/>
    <w:rsid w:val="0071525A"/>
    <w:rsid w:val="00715D3D"/>
    <w:rsid w:val="00716189"/>
    <w:rsid w:val="007210C6"/>
    <w:rsid w:val="007227E5"/>
    <w:rsid w:val="00723B9D"/>
    <w:rsid w:val="00735741"/>
    <w:rsid w:val="00736227"/>
    <w:rsid w:val="00743BEE"/>
    <w:rsid w:val="007444E8"/>
    <w:rsid w:val="007449DC"/>
    <w:rsid w:val="00746DCC"/>
    <w:rsid w:val="00750812"/>
    <w:rsid w:val="00750B80"/>
    <w:rsid w:val="007533CA"/>
    <w:rsid w:val="00753460"/>
    <w:rsid w:val="007552C8"/>
    <w:rsid w:val="00756316"/>
    <w:rsid w:val="00766AE8"/>
    <w:rsid w:val="007776A5"/>
    <w:rsid w:val="00780E49"/>
    <w:rsid w:val="007817B1"/>
    <w:rsid w:val="00787E19"/>
    <w:rsid w:val="00791FC9"/>
    <w:rsid w:val="007921A1"/>
    <w:rsid w:val="00793478"/>
    <w:rsid w:val="00797B89"/>
    <w:rsid w:val="007A22D2"/>
    <w:rsid w:val="007A3127"/>
    <w:rsid w:val="007A3F10"/>
    <w:rsid w:val="007B112B"/>
    <w:rsid w:val="007B303D"/>
    <w:rsid w:val="007B79FC"/>
    <w:rsid w:val="007C19C9"/>
    <w:rsid w:val="007C4830"/>
    <w:rsid w:val="007C5540"/>
    <w:rsid w:val="007C74E0"/>
    <w:rsid w:val="007D37B3"/>
    <w:rsid w:val="007D5D56"/>
    <w:rsid w:val="007D6D00"/>
    <w:rsid w:val="007E1EFE"/>
    <w:rsid w:val="007E32F7"/>
    <w:rsid w:val="007E44F1"/>
    <w:rsid w:val="007E49E9"/>
    <w:rsid w:val="007E5EBE"/>
    <w:rsid w:val="007E7261"/>
    <w:rsid w:val="007E778C"/>
    <w:rsid w:val="007F3CB8"/>
    <w:rsid w:val="007F417B"/>
    <w:rsid w:val="007F7066"/>
    <w:rsid w:val="007F7B45"/>
    <w:rsid w:val="0080021B"/>
    <w:rsid w:val="008018B3"/>
    <w:rsid w:val="00801F4A"/>
    <w:rsid w:val="0080514D"/>
    <w:rsid w:val="00805F41"/>
    <w:rsid w:val="00810875"/>
    <w:rsid w:val="00812060"/>
    <w:rsid w:val="00812D91"/>
    <w:rsid w:val="00813C6B"/>
    <w:rsid w:val="00813EB9"/>
    <w:rsid w:val="00816EBF"/>
    <w:rsid w:val="00817ED5"/>
    <w:rsid w:val="008211AE"/>
    <w:rsid w:val="0082165A"/>
    <w:rsid w:val="008223AD"/>
    <w:rsid w:val="00823B66"/>
    <w:rsid w:val="008242AD"/>
    <w:rsid w:val="00824CB9"/>
    <w:rsid w:val="0082502D"/>
    <w:rsid w:val="00825779"/>
    <w:rsid w:val="00826150"/>
    <w:rsid w:val="0082717B"/>
    <w:rsid w:val="008310CE"/>
    <w:rsid w:val="00831856"/>
    <w:rsid w:val="008318E2"/>
    <w:rsid w:val="00831CB0"/>
    <w:rsid w:val="00835E2A"/>
    <w:rsid w:val="00837414"/>
    <w:rsid w:val="00837617"/>
    <w:rsid w:val="00840C4F"/>
    <w:rsid w:val="0085338A"/>
    <w:rsid w:val="00854489"/>
    <w:rsid w:val="00860E3D"/>
    <w:rsid w:val="00861E30"/>
    <w:rsid w:val="00861EE9"/>
    <w:rsid w:val="0086416C"/>
    <w:rsid w:val="00870403"/>
    <w:rsid w:val="0087183C"/>
    <w:rsid w:val="008733AC"/>
    <w:rsid w:val="00873847"/>
    <w:rsid w:val="0087463C"/>
    <w:rsid w:val="00876D68"/>
    <w:rsid w:val="00876E32"/>
    <w:rsid w:val="0088029A"/>
    <w:rsid w:val="0088282F"/>
    <w:rsid w:val="0088371A"/>
    <w:rsid w:val="00885660"/>
    <w:rsid w:val="00886170"/>
    <w:rsid w:val="008862B5"/>
    <w:rsid w:val="00886FA2"/>
    <w:rsid w:val="00893411"/>
    <w:rsid w:val="008948A5"/>
    <w:rsid w:val="00895AE0"/>
    <w:rsid w:val="008A10F6"/>
    <w:rsid w:val="008B1287"/>
    <w:rsid w:val="008B276B"/>
    <w:rsid w:val="008B6BDC"/>
    <w:rsid w:val="008B74D7"/>
    <w:rsid w:val="008B76C5"/>
    <w:rsid w:val="008B7FA7"/>
    <w:rsid w:val="008C15E8"/>
    <w:rsid w:val="008C20A5"/>
    <w:rsid w:val="008C2B00"/>
    <w:rsid w:val="008C515A"/>
    <w:rsid w:val="008C5578"/>
    <w:rsid w:val="008C6D88"/>
    <w:rsid w:val="008D02D8"/>
    <w:rsid w:val="008D3B3B"/>
    <w:rsid w:val="008D4822"/>
    <w:rsid w:val="008E0A75"/>
    <w:rsid w:val="008E0F5F"/>
    <w:rsid w:val="008E198F"/>
    <w:rsid w:val="008E1C44"/>
    <w:rsid w:val="008E2FD1"/>
    <w:rsid w:val="008E378D"/>
    <w:rsid w:val="008E7F94"/>
    <w:rsid w:val="008F1693"/>
    <w:rsid w:val="008F46A4"/>
    <w:rsid w:val="008F5959"/>
    <w:rsid w:val="008F5FD2"/>
    <w:rsid w:val="00901B5D"/>
    <w:rsid w:val="00902C87"/>
    <w:rsid w:val="0090317E"/>
    <w:rsid w:val="00903B56"/>
    <w:rsid w:val="00906584"/>
    <w:rsid w:val="00907963"/>
    <w:rsid w:val="00911968"/>
    <w:rsid w:val="009122C7"/>
    <w:rsid w:val="00912C96"/>
    <w:rsid w:val="00914917"/>
    <w:rsid w:val="00914925"/>
    <w:rsid w:val="00914A8C"/>
    <w:rsid w:val="00915E0D"/>
    <w:rsid w:val="0091609F"/>
    <w:rsid w:val="009205E2"/>
    <w:rsid w:val="0092446B"/>
    <w:rsid w:val="00925100"/>
    <w:rsid w:val="00926706"/>
    <w:rsid w:val="00926F36"/>
    <w:rsid w:val="00927EFF"/>
    <w:rsid w:val="00931290"/>
    <w:rsid w:val="0093252B"/>
    <w:rsid w:val="00934272"/>
    <w:rsid w:val="0093680B"/>
    <w:rsid w:val="009368F5"/>
    <w:rsid w:val="00937D60"/>
    <w:rsid w:val="00940388"/>
    <w:rsid w:val="00941D64"/>
    <w:rsid w:val="00942EBC"/>
    <w:rsid w:val="00943339"/>
    <w:rsid w:val="00946C0F"/>
    <w:rsid w:val="00951C00"/>
    <w:rsid w:val="00953232"/>
    <w:rsid w:val="009554F5"/>
    <w:rsid w:val="0095623D"/>
    <w:rsid w:val="00957C97"/>
    <w:rsid w:val="00961411"/>
    <w:rsid w:val="00961965"/>
    <w:rsid w:val="009652B8"/>
    <w:rsid w:val="00972C6E"/>
    <w:rsid w:val="00974508"/>
    <w:rsid w:val="0097457F"/>
    <w:rsid w:val="009758AC"/>
    <w:rsid w:val="00975CFD"/>
    <w:rsid w:val="00976626"/>
    <w:rsid w:val="00976A68"/>
    <w:rsid w:val="00976BAA"/>
    <w:rsid w:val="009777B7"/>
    <w:rsid w:val="00977BAC"/>
    <w:rsid w:val="00982045"/>
    <w:rsid w:val="009831A0"/>
    <w:rsid w:val="00983C0B"/>
    <w:rsid w:val="0098404B"/>
    <w:rsid w:val="00984C90"/>
    <w:rsid w:val="00986821"/>
    <w:rsid w:val="009872B9"/>
    <w:rsid w:val="009902B2"/>
    <w:rsid w:val="00992D47"/>
    <w:rsid w:val="00994D17"/>
    <w:rsid w:val="0099529F"/>
    <w:rsid w:val="009A3A50"/>
    <w:rsid w:val="009A5B5B"/>
    <w:rsid w:val="009B031F"/>
    <w:rsid w:val="009C1AA9"/>
    <w:rsid w:val="009C3CAF"/>
    <w:rsid w:val="009C70E1"/>
    <w:rsid w:val="009D0150"/>
    <w:rsid w:val="009D22A1"/>
    <w:rsid w:val="009D2AE5"/>
    <w:rsid w:val="009D4926"/>
    <w:rsid w:val="009D7F3F"/>
    <w:rsid w:val="009E2E6A"/>
    <w:rsid w:val="009E6842"/>
    <w:rsid w:val="009F2006"/>
    <w:rsid w:val="009F2C22"/>
    <w:rsid w:val="009F3939"/>
    <w:rsid w:val="009F7F6F"/>
    <w:rsid w:val="00A0088F"/>
    <w:rsid w:val="00A03051"/>
    <w:rsid w:val="00A04EED"/>
    <w:rsid w:val="00A0698D"/>
    <w:rsid w:val="00A074D5"/>
    <w:rsid w:val="00A10030"/>
    <w:rsid w:val="00A10D84"/>
    <w:rsid w:val="00A143C0"/>
    <w:rsid w:val="00A14EDF"/>
    <w:rsid w:val="00A175FE"/>
    <w:rsid w:val="00A178A7"/>
    <w:rsid w:val="00A2125A"/>
    <w:rsid w:val="00A27F0B"/>
    <w:rsid w:val="00A30144"/>
    <w:rsid w:val="00A31AC9"/>
    <w:rsid w:val="00A33376"/>
    <w:rsid w:val="00A3341C"/>
    <w:rsid w:val="00A34B83"/>
    <w:rsid w:val="00A402AC"/>
    <w:rsid w:val="00A47C5C"/>
    <w:rsid w:val="00A505E7"/>
    <w:rsid w:val="00A53CBB"/>
    <w:rsid w:val="00A53FEE"/>
    <w:rsid w:val="00A5621C"/>
    <w:rsid w:val="00A62296"/>
    <w:rsid w:val="00A63B27"/>
    <w:rsid w:val="00A648EE"/>
    <w:rsid w:val="00A64C3F"/>
    <w:rsid w:val="00A65C9D"/>
    <w:rsid w:val="00A669A6"/>
    <w:rsid w:val="00A66EAD"/>
    <w:rsid w:val="00A705C1"/>
    <w:rsid w:val="00A71908"/>
    <w:rsid w:val="00A724AC"/>
    <w:rsid w:val="00A72BB7"/>
    <w:rsid w:val="00A72C1D"/>
    <w:rsid w:val="00A73808"/>
    <w:rsid w:val="00A73D17"/>
    <w:rsid w:val="00A74807"/>
    <w:rsid w:val="00A74A48"/>
    <w:rsid w:val="00A76318"/>
    <w:rsid w:val="00A76372"/>
    <w:rsid w:val="00A77129"/>
    <w:rsid w:val="00A83D2E"/>
    <w:rsid w:val="00A8441D"/>
    <w:rsid w:val="00A8702E"/>
    <w:rsid w:val="00A91716"/>
    <w:rsid w:val="00A92F7E"/>
    <w:rsid w:val="00A93457"/>
    <w:rsid w:val="00A9440C"/>
    <w:rsid w:val="00A94BF1"/>
    <w:rsid w:val="00A96DD2"/>
    <w:rsid w:val="00AA05A9"/>
    <w:rsid w:val="00AA07A7"/>
    <w:rsid w:val="00AA1510"/>
    <w:rsid w:val="00AA5E57"/>
    <w:rsid w:val="00AA739F"/>
    <w:rsid w:val="00AA7F46"/>
    <w:rsid w:val="00AB26D5"/>
    <w:rsid w:val="00AB77C5"/>
    <w:rsid w:val="00AC2350"/>
    <w:rsid w:val="00AC3E31"/>
    <w:rsid w:val="00AC7DF7"/>
    <w:rsid w:val="00AD210B"/>
    <w:rsid w:val="00AD3EA3"/>
    <w:rsid w:val="00AD436B"/>
    <w:rsid w:val="00AD5BD5"/>
    <w:rsid w:val="00AD5F86"/>
    <w:rsid w:val="00AD620D"/>
    <w:rsid w:val="00AD669E"/>
    <w:rsid w:val="00AD7E15"/>
    <w:rsid w:val="00AE03EF"/>
    <w:rsid w:val="00AE27CA"/>
    <w:rsid w:val="00AE5626"/>
    <w:rsid w:val="00AE62E0"/>
    <w:rsid w:val="00AF0799"/>
    <w:rsid w:val="00AF7BBD"/>
    <w:rsid w:val="00B015CE"/>
    <w:rsid w:val="00B03596"/>
    <w:rsid w:val="00B035B1"/>
    <w:rsid w:val="00B03E9C"/>
    <w:rsid w:val="00B04689"/>
    <w:rsid w:val="00B07F58"/>
    <w:rsid w:val="00B11952"/>
    <w:rsid w:val="00B150B8"/>
    <w:rsid w:val="00B24242"/>
    <w:rsid w:val="00B27AE9"/>
    <w:rsid w:val="00B333A1"/>
    <w:rsid w:val="00B348B2"/>
    <w:rsid w:val="00B40402"/>
    <w:rsid w:val="00B41927"/>
    <w:rsid w:val="00B41DD6"/>
    <w:rsid w:val="00B46B41"/>
    <w:rsid w:val="00B477F6"/>
    <w:rsid w:val="00B5303E"/>
    <w:rsid w:val="00B54353"/>
    <w:rsid w:val="00B54409"/>
    <w:rsid w:val="00B54451"/>
    <w:rsid w:val="00B5706C"/>
    <w:rsid w:val="00B63ABA"/>
    <w:rsid w:val="00B63CE8"/>
    <w:rsid w:val="00B6799D"/>
    <w:rsid w:val="00B67AAE"/>
    <w:rsid w:val="00B70B6F"/>
    <w:rsid w:val="00B72915"/>
    <w:rsid w:val="00B74C7C"/>
    <w:rsid w:val="00B7673C"/>
    <w:rsid w:val="00B76F57"/>
    <w:rsid w:val="00B804AA"/>
    <w:rsid w:val="00B806D2"/>
    <w:rsid w:val="00B81EB8"/>
    <w:rsid w:val="00B82125"/>
    <w:rsid w:val="00B82155"/>
    <w:rsid w:val="00B86CC0"/>
    <w:rsid w:val="00B86D00"/>
    <w:rsid w:val="00B87373"/>
    <w:rsid w:val="00B87C2C"/>
    <w:rsid w:val="00B9178C"/>
    <w:rsid w:val="00B917F1"/>
    <w:rsid w:val="00B94CC4"/>
    <w:rsid w:val="00B95257"/>
    <w:rsid w:val="00B96E4B"/>
    <w:rsid w:val="00BA02E2"/>
    <w:rsid w:val="00BA0553"/>
    <w:rsid w:val="00BA10E2"/>
    <w:rsid w:val="00BA372C"/>
    <w:rsid w:val="00BA4F37"/>
    <w:rsid w:val="00BA5CA0"/>
    <w:rsid w:val="00BB0B49"/>
    <w:rsid w:val="00BB2C51"/>
    <w:rsid w:val="00BB3F6B"/>
    <w:rsid w:val="00BB431B"/>
    <w:rsid w:val="00BB5371"/>
    <w:rsid w:val="00BB5E90"/>
    <w:rsid w:val="00BC111E"/>
    <w:rsid w:val="00BC2F1A"/>
    <w:rsid w:val="00BC3298"/>
    <w:rsid w:val="00BC5558"/>
    <w:rsid w:val="00BC6A04"/>
    <w:rsid w:val="00BC6ECB"/>
    <w:rsid w:val="00BD0EF3"/>
    <w:rsid w:val="00BD1D36"/>
    <w:rsid w:val="00BD337F"/>
    <w:rsid w:val="00BD3495"/>
    <w:rsid w:val="00BD370E"/>
    <w:rsid w:val="00BD69B0"/>
    <w:rsid w:val="00BD75A5"/>
    <w:rsid w:val="00BE189F"/>
    <w:rsid w:val="00BE5C3C"/>
    <w:rsid w:val="00BE74FA"/>
    <w:rsid w:val="00BF161B"/>
    <w:rsid w:val="00BF3416"/>
    <w:rsid w:val="00BF3DC1"/>
    <w:rsid w:val="00BF5C6D"/>
    <w:rsid w:val="00BF72A3"/>
    <w:rsid w:val="00BF77E4"/>
    <w:rsid w:val="00C04C98"/>
    <w:rsid w:val="00C05CCE"/>
    <w:rsid w:val="00C06DD1"/>
    <w:rsid w:val="00C106C1"/>
    <w:rsid w:val="00C11CC3"/>
    <w:rsid w:val="00C148AA"/>
    <w:rsid w:val="00C1508F"/>
    <w:rsid w:val="00C15197"/>
    <w:rsid w:val="00C15858"/>
    <w:rsid w:val="00C167FA"/>
    <w:rsid w:val="00C20666"/>
    <w:rsid w:val="00C260AC"/>
    <w:rsid w:val="00C267EE"/>
    <w:rsid w:val="00C26C8A"/>
    <w:rsid w:val="00C272C7"/>
    <w:rsid w:val="00C3060E"/>
    <w:rsid w:val="00C333C3"/>
    <w:rsid w:val="00C37808"/>
    <w:rsid w:val="00C40C58"/>
    <w:rsid w:val="00C42D52"/>
    <w:rsid w:val="00C463A4"/>
    <w:rsid w:val="00C46FBE"/>
    <w:rsid w:val="00C509AC"/>
    <w:rsid w:val="00C518C9"/>
    <w:rsid w:val="00C51FC5"/>
    <w:rsid w:val="00C523B8"/>
    <w:rsid w:val="00C54A14"/>
    <w:rsid w:val="00C56F9C"/>
    <w:rsid w:val="00C60716"/>
    <w:rsid w:val="00C608EF"/>
    <w:rsid w:val="00C63717"/>
    <w:rsid w:val="00C6454C"/>
    <w:rsid w:val="00C64568"/>
    <w:rsid w:val="00C7215B"/>
    <w:rsid w:val="00C7529C"/>
    <w:rsid w:val="00C77ED1"/>
    <w:rsid w:val="00C80C6A"/>
    <w:rsid w:val="00C83CF4"/>
    <w:rsid w:val="00C84414"/>
    <w:rsid w:val="00C866D2"/>
    <w:rsid w:val="00C86AB3"/>
    <w:rsid w:val="00C87E49"/>
    <w:rsid w:val="00C906CD"/>
    <w:rsid w:val="00C90C58"/>
    <w:rsid w:val="00C915C7"/>
    <w:rsid w:val="00C91E6C"/>
    <w:rsid w:val="00C930A8"/>
    <w:rsid w:val="00C95D86"/>
    <w:rsid w:val="00C95F87"/>
    <w:rsid w:val="00C96EC6"/>
    <w:rsid w:val="00C96F79"/>
    <w:rsid w:val="00CA1BA0"/>
    <w:rsid w:val="00CA298F"/>
    <w:rsid w:val="00CA46AA"/>
    <w:rsid w:val="00CA76EC"/>
    <w:rsid w:val="00CB1C0F"/>
    <w:rsid w:val="00CB2BFC"/>
    <w:rsid w:val="00CB5CF6"/>
    <w:rsid w:val="00CB67EF"/>
    <w:rsid w:val="00CC2136"/>
    <w:rsid w:val="00CC2FA3"/>
    <w:rsid w:val="00CC47E0"/>
    <w:rsid w:val="00CC636D"/>
    <w:rsid w:val="00CD0BC8"/>
    <w:rsid w:val="00CD21A0"/>
    <w:rsid w:val="00CD29C0"/>
    <w:rsid w:val="00CD3B5D"/>
    <w:rsid w:val="00CD585D"/>
    <w:rsid w:val="00CD7B1E"/>
    <w:rsid w:val="00CE3465"/>
    <w:rsid w:val="00CE3A65"/>
    <w:rsid w:val="00CE79D4"/>
    <w:rsid w:val="00CF1318"/>
    <w:rsid w:val="00CF148D"/>
    <w:rsid w:val="00CF19CA"/>
    <w:rsid w:val="00CF21CC"/>
    <w:rsid w:val="00CF2CB6"/>
    <w:rsid w:val="00CF3D91"/>
    <w:rsid w:val="00CF43EA"/>
    <w:rsid w:val="00CF7142"/>
    <w:rsid w:val="00D01F4D"/>
    <w:rsid w:val="00D026B5"/>
    <w:rsid w:val="00D03077"/>
    <w:rsid w:val="00D0461F"/>
    <w:rsid w:val="00D04FC9"/>
    <w:rsid w:val="00D0500D"/>
    <w:rsid w:val="00D05CDF"/>
    <w:rsid w:val="00D07D2C"/>
    <w:rsid w:val="00D10E7E"/>
    <w:rsid w:val="00D16723"/>
    <w:rsid w:val="00D173C4"/>
    <w:rsid w:val="00D208D6"/>
    <w:rsid w:val="00D24D6D"/>
    <w:rsid w:val="00D25C62"/>
    <w:rsid w:val="00D26DC1"/>
    <w:rsid w:val="00D27CBA"/>
    <w:rsid w:val="00D300D9"/>
    <w:rsid w:val="00D3034A"/>
    <w:rsid w:val="00D30DEC"/>
    <w:rsid w:val="00D335E1"/>
    <w:rsid w:val="00D37932"/>
    <w:rsid w:val="00D402C1"/>
    <w:rsid w:val="00D4031F"/>
    <w:rsid w:val="00D4051D"/>
    <w:rsid w:val="00D41F5C"/>
    <w:rsid w:val="00D43146"/>
    <w:rsid w:val="00D433E9"/>
    <w:rsid w:val="00D435DF"/>
    <w:rsid w:val="00D5074E"/>
    <w:rsid w:val="00D5299B"/>
    <w:rsid w:val="00D529CD"/>
    <w:rsid w:val="00D64047"/>
    <w:rsid w:val="00D6440F"/>
    <w:rsid w:val="00D65CB1"/>
    <w:rsid w:val="00D70272"/>
    <w:rsid w:val="00D7047C"/>
    <w:rsid w:val="00D7060E"/>
    <w:rsid w:val="00D711B4"/>
    <w:rsid w:val="00D716BD"/>
    <w:rsid w:val="00D73B6A"/>
    <w:rsid w:val="00D73F8F"/>
    <w:rsid w:val="00D7440F"/>
    <w:rsid w:val="00D80447"/>
    <w:rsid w:val="00D81853"/>
    <w:rsid w:val="00D82947"/>
    <w:rsid w:val="00D83808"/>
    <w:rsid w:val="00D8665A"/>
    <w:rsid w:val="00D87F76"/>
    <w:rsid w:val="00D91EB0"/>
    <w:rsid w:val="00D92D5B"/>
    <w:rsid w:val="00D9477C"/>
    <w:rsid w:val="00D954F7"/>
    <w:rsid w:val="00DA046C"/>
    <w:rsid w:val="00DA2440"/>
    <w:rsid w:val="00DA71CC"/>
    <w:rsid w:val="00DB2971"/>
    <w:rsid w:val="00DB323B"/>
    <w:rsid w:val="00DB3B0E"/>
    <w:rsid w:val="00DB557B"/>
    <w:rsid w:val="00DB7D94"/>
    <w:rsid w:val="00DC0D68"/>
    <w:rsid w:val="00DC22ED"/>
    <w:rsid w:val="00DC57F3"/>
    <w:rsid w:val="00DC6523"/>
    <w:rsid w:val="00DD4514"/>
    <w:rsid w:val="00DD637E"/>
    <w:rsid w:val="00DE00DC"/>
    <w:rsid w:val="00DE0EEF"/>
    <w:rsid w:val="00DE1E20"/>
    <w:rsid w:val="00DE3B6B"/>
    <w:rsid w:val="00DE4C5D"/>
    <w:rsid w:val="00DE639E"/>
    <w:rsid w:val="00DE703D"/>
    <w:rsid w:val="00DF184C"/>
    <w:rsid w:val="00DF3D6F"/>
    <w:rsid w:val="00DF5864"/>
    <w:rsid w:val="00DF748F"/>
    <w:rsid w:val="00E02279"/>
    <w:rsid w:val="00E041C1"/>
    <w:rsid w:val="00E05AE9"/>
    <w:rsid w:val="00E066FE"/>
    <w:rsid w:val="00E0700D"/>
    <w:rsid w:val="00E075BB"/>
    <w:rsid w:val="00E128C2"/>
    <w:rsid w:val="00E13022"/>
    <w:rsid w:val="00E13CCE"/>
    <w:rsid w:val="00E17812"/>
    <w:rsid w:val="00E20926"/>
    <w:rsid w:val="00E214AE"/>
    <w:rsid w:val="00E2150B"/>
    <w:rsid w:val="00E21F00"/>
    <w:rsid w:val="00E2407F"/>
    <w:rsid w:val="00E24388"/>
    <w:rsid w:val="00E2463E"/>
    <w:rsid w:val="00E278D2"/>
    <w:rsid w:val="00E30D0D"/>
    <w:rsid w:val="00E328CB"/>
    <w:rsid w:val="00E3440E"/>
    <w:rsid w:val="00E401AC"/>
    <w:rsid w:val="00E43A57"/>
    <w:rsid w:val="00E44A63"/>
    <w:rsid w:val="00E464A1"/>
    <w:rsid w:val="00E50EF6"/>
    <w:rsid w:val="00E54C45"/>
    <w:rsid w:val="00E55E74"/>
    <w:rsid w:val="00E60B80"/>
    <w:rsid w:val="00E613DC"/>
    <w:rsid w:val="00E638EF"/>
    <w:rsid w:val="00E64E5F"/>
    <w:rsid w:val="00E65CA6"/>
    <w:rsid w:val="00E6635D"/>
    <w:rsid w:val="00E6695D"/>
    <w:rsid w:val="00E70A53"/>
    <w:rsid w:val="00E70F8E"/>
    <w:rsid w:val="00E711F5"/>
    <w:rsid w:val="00E750E4"/>
    <w:rsid w:val="00E7594C"/>
    <w:rsid w:val="00E75BDF"/>
    <w:rsid w:val="00E773AF"/>
    <w:rsid w:val="00E80793"/>
    <w:rsid w:val="00E80C20"/>
    <w:rsid w:val="00E81593"/>
    <w:rsid w:val="00E83BB1"/>
    <w:rsid w:val="00E845DF"/>
    <w:rsid w:val="00E8568F"/>
    <w:rsid w:val="00E90A40"/>
    <w:rsid w:val="00E91429"/>
    <w:rsid w:val="00E920ED"/>
    <w:rsid w:val="00E942E8"/>
    <w:rsid w:val="00E9461C"/>
    <w:rsid w:val="00E96E7C"/>
    <w:rsid w:val="00EA2B7F"/>
    <w:rsid w:val="00EA339B"/>
    <w:rsid w:val="00EA547E"/>
    <w:rsid w:val="00EA66B4"/>
    <w:rsid w:val="00EB09C0"/>
    <w:rsid w:val="00EB208F"/>
    <w:rsid w:val="00EB24E0"/>
    <w:rsid w:val="00EB39C4"/>
    <w:rsid w:val="00EB3F1F"/>
    <w:rsid w:val="00EB4738"/>
    <w:rsid w:val="00EB4769"/>
    <w:rsid w:val="00EC2AFD"/>
    <w:rsid w:val="00EC5DF4"/>
    <w:rsid w:val="00EC6B9F"/>
    <w:rsid w:val="00ED132B"/>
    <w:rsid w:val="00EE064A"/>
    <w:rsid w:val="00EE3634"/>
    <w:rsid w:val="00EE532C"/>
    <w:rsid w:val="00EF0410"/>
    <w:rsid w:val="00EF3150"/>
    <w:rsid w:val="00F03296"/>
    <w:rsid w:val="00F04256"/>
    <w:rsid w:val="00F04A59"/>
    <w:rsid w:val="00F05532"/>
    <w:rsid w:val="00F05730"/>
    <w:rsid w:val="00F11F18"/>
    <w:rsid w:val="00F1300E"/>
    <w:rsid w:val="00F131B7"/>
    <w:rsid w:val="00F13C8E"/>
    <w:rsid w:val="00F14B6D"/>
    <w:rsid w:val="00F151E6"/>
    <w:rsid w:val="00F15AD0"/>
    <w:rsid w:val="00F15B0D"/>
    <w:rsid w:val="00F16A06"/>
    <w:rsid w:val="00F230A3"/>
    <w:rsid w:val="00F241EF"/>
    <w:rsid w:val="00F25659"/>
    <w:rsid w:val="00F25ED3"/>
    <w:rsid w:val="00F27C6B"/>
    <w:rsid w:val="00F31FE0"/>
    <w:rsid w:val="00F362C5"/>
    <w:rsid w:val="00F37DE4"/>
    <w:rsid w:val="00F40FD3"/>
    <w:rsid w:val="00F416DE"/>
    <w:rsid w:val="00F41E5E"/>
    <w:rsid w:val="00F43E3A"/>
    <w:rsid w:val="00F44678"/>
    <w:rsid w:val="00F470EE"/>
    <w:rsid w:val="00F50F4D"/>
    <w:rsid w:val="00F51DA6"/>
    <w:rsid w:val="00F52D6C"/>
    <w:rsid w:val="00F535B3"/>
    <w:rsid w:val="00F5541C"/>
    <w:rsid w:val="00F55D6A"/>
    <w:rsid w:val="00F601E4"/>
    <w:rsid w:val="00F62D15"/>
    <w:rsid w:val="00F64271"/>
    <w:rsid w:val="00F6470D"/>
    <w:rsid w:val="00F672B4"/>
    <w:rsid w:val="00F67929"/>
    <w:rsid w:val="00F70A67"/>
    <w:rsid w:val="00F80768"/>
    <w:rsid w:val="00F80C9C"/>
    <w:rsid w:val="00F80E16"/>
    <w:rsid w:val="00F82B20"/>
    <w:rsid w:val="00F84400"/>
    <w:rsid w:val="00F8589A"/>
    <w:rsid w:val="00F9119C"/>
    <w:rsid w:val="00F94E6F"/>
    <w:rsid w:val="00FA0936"/>
    <w:rsid w:val="00FA0EB8"/>
    <w:rsid w:val="00FA238A"/>
    <w:rsid w:val="00FA4C9E"/>
    <w:rsid w:val="00FB1AE6"/>
    <w:rsid w:val="00FB203A"/>
    <w:rsid w:val="00FB3949"/>
    <w:rsid w:val="00FB7DC8"/>
    <w:rsid w:val="00FC03FA"/>
    <w:rsid w:val="00FC16AB"/>
    <w:rsid w:val="00FC22A0"/>
    <w:rsid w:val="00FC2BA9"/>
    <w:rsid w:val="00FC33ED"/>
    <w:rsid w:val="00FC494E"/>
    <w:rsid w:val="00FD17B3"/>
    <w:rsid w:val="00FD37CD"/>
    <w:rsid w:val="00FD392B"/>
    <w:rsid w:val="00FD4AA1"/>
    <w:rsid w:val="00FD5900"/>
    <w:rsid w:val="00FD5C48"/>
    <w:rsid w:val="00FD5F79"/>
    <w:rsid w:val="00FD6696"/>
    <w:rsid w:val="00FE5AC8"/>
    <w:rsid w:val="00FE66C9"/>
    <w:rsid w:val="00FF6E8F"/>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8075"/>
  <w15:chartTrackingRefBased/>
  <w15:docId w15:val="{BE6238D4-3DE0-4F58-AF0C-A13F385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2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F2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38"/>
    <w:rPr>
      <w:color w:val="0000FF"/>
      <w:u w:val="single"/>
    </w:rPr>
  </w:style>
  <w:style w:type="character" w:styleId="UnresolvedMention">
    <w:name w:val="Unresolved Mention"/>
    <w:basedOn w:val="DefaultParagraphFont"/>
    <w:uiPriority w:val="99"/>
    <w:semiHidden/>
    <w:unhideWhenUsed/>
    <w:rsid w:val="00EB4738"/>
    <w:rPr>
      <w:color w:val="605E5C"/>
      <w:shd w:val="clear" w:color="auto" w:fill="E1DFDD"/>
    </w:rPr>
  </w:style>
  <w:style w:type="paragraph" w:styleId="Header">
    <w:name w:val="header"/>
    <w:basedOn w:val="Normal"/>
    <w:link w:val="HeaderChar"/>
    <w:uiPriority w:val="99"/>
    <w:unhideWhenUsed/>
    <w:rsid w:val="00A1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A7"/>
  </w:style>
  <w:style w:type="paragraph" w:styleId="Footer">
    <w:name w:val="footer"/>
    <w:basedOn w:val="Normal"/>
    <w:link w:val="FooterChar"/>
    <w:uiPriority w:val="99"/>
    <w:unhideWhenUsed/>
    <w:rsid w:val="00A1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A7"/>
  </w:style>
  <w:style w:type="paragraph" w:styleId="ListParagraph">
    <w:name w:val="List Paragraph"/>
    <w:basedOn w:val="Normal"/>
    <w:uiPriority w:val="34"/>
    <w:qFormat/>
    <w:rsid w:val="00C148AA"/>
    <w:pPr>
      <w:ind w:left="720"/>
      <w:contextualSpacing/>
    </w:pPr>
  </w:style>
  <w:style w:type="table" w:styleId="TableGrid">
    <w:name w:val="Table Grid"/>
    <w:basedOn w:val="TableNormal"/>
    <w:uiPriority w:val="39"/>
    <w:rsid w:val="0072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0E"/>
    <w:rPr>
      <w:rFonts w:ascii="Segoe UI" w:hAnsi="Segoe UI" w:cs="Segoe UI"/>
      <w:sz w:val="18"/>
      <w:szCs w:val="18"/>
    </w:rPr>
  </w:style>
  <w:style w:type="character" w:styleId="CommentReference">
    <w:name w:val="annotation reference"/>
    <w:basedOn w:val="DefaultParagraphFont"/>
    <w:uiPriority w:val="99"/>
    <w:semiHidden/>
    <w:unhideWhenUsed/>
    <w:rsid w:val="00B82125"/>
    <w:rPr>
      <w:sz w:val="16"/>
      <w:szCs w:val="16"/>
    </w:rPr>
  </w:style>
  <w:style w:type="paragraph" w:styleId="CommentText">
    <w:name w:val="annotation text"/>
    <w:basedOn w:val="Normal"/>
    <w:link w:val="CommentTextChar"/>
    <w:uiPriority w:val="99"/>
    <w:semiHidden/>
    <w:unhideWhenUsed/>
    <w:rsid w:val="00B82125"/>
    <w:pPr>
      <w:spacing w:line="240" w:lineRule="auto"/>
    </w:pPr>
    <w:rPr>
      <w:sz w:val="20"/>
      <w:szCs w:val="20"/>
    </w:rPr>
  </w:style>
  <w:style w:type="character" w:customStyle="1" w:styleId="CommentTextChar">
    <w:name w:val="Comment Text Char"/>
    <w:basedOn w:val="DefaultParagraphFont"/>
    <w:link w:val="CommentText"/>
    <w:uiPriority w:val="99"/>
    <w:semiHidden/>
    <w:rsid w:val="00B82125"/>
    <w:rPr>
      <w:sz w:val="20"/>
      <w:szCs w:val="20"/>
    </w:rPr>
  </w:style>
  <w:style w:type="paragraph" w:styleId="CommentSubject">
    <w:name w:val="annotation subject"/>
    <w:basedOn w:val="CommentText"/>
    <w:next w:val="CommentText"/>
    <w:link w:val="CommentSubjectChar"/>
    <w:uiPriority w:val="99"/>
    <w:semiHidden/>
    <w:unhideWhenUsed/>
    <w:rsid w:val="00B82125"/>
    <w:rPr>
      <w:b/>
      <w:bCs/>
    </w:rPr>
  </w:style>
  <w:style w:type="character" w:customStyle="1" w:styleId="CommentSubjectChar">
    <w:name w:val="Comment Subject Char"/>
    <w:basedOn w:val="CommentTextChar"/>
    <w:link w:val="CommentSubject"/>
    <w:uiPriority w:val="99"/>
    <w:semiHidden/>
    <w:rsid w:val="00B82125"/>
    <w:rPr>
      <w:b/>
      <w:bCs/>
      <w:sz w:val="20"/>
      <w:szCs w:val="20"/>
    </w:rPr>
  </w:style>
  <w:style w:type="paragraph" w:styleId="Revision">
    <w:name w:val="Revision"/>
    <w:hidden/>
    <w:uiPriority w:val="99"/>
    <w:semiHidden/>
    <w:rsid w:val="005C2CDE"/>
    <w:pPr>
      <w:spacing w:after="0" w:line="240" w:lineRule="auto"/>
    </w:pPr>
  </w:style>
  <w:style w:type="paragraph" w:styleId="NormalWeb">
    <w:name w:val="Normal (Web)"/>
    <w:basedOn w:val="Normal"/>
    <w:uiPriority w:val="99"/>
    <w:semiHidden/>
    <w:unhideWhenUsed/>
    <w:rsid w:val="004C4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5100"/>
    <w:rPr>
      <w:color w:val="954F72" w:themeColor="followedHyperlink"/>
      <w:u w:val="single"/>
    </w:rPr>
  </w:style>
  <w:style w:type="character" w:customStyle="1" w:styleId="Heading1Char">
    <w:name w:val="Heading 1 Char"/>
    <w:basedOn w:val="DefaultParagraphFont"/>
    <w:link w:val="Heading1"/>
    <w:uiPriority w:val="9"/>
    <w:rsid w:val="009F2C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F2C2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5703">
      <w:bodyDiv w:val="1"/>
      <w:marLeft w:val="0"/>
      <w:marRight w:val="0"/>
      <w:marTop w:val="0"/>
      <w:marBottom w:val="0"/>
      <w:divBdr>
        <w:top w:val="none" w:sz="0" w:space="0" w:color="auto"/>
        <w:left w:val="none" w:sz="0" w:space="0" w:color="auto"/>
        <w:bottom w:val="none" w:sz="0" w:space="0" w:color="auto"/>
        <w:right w:val="none" w:sz="0" w:space="0" w:color="auto"/>
      </w:divBdr>
    </w:div>
    <w:div w:id="679547578">
      <w:bodyDiv w:val="1"/>
      <w:marLeft w:val="0"/>
      <w:marRight w:val="0"/>
      <w:marTop w:val="0"/>
      <w:marBottom w:val="0"/>
      <w:divBdr>
        <w:top w:val="none" w:sz="0" w:space="0" w:color="auto"/>
        <w:left w:val="none" w:sz="0" w:space="0" w:color="auto"/>
        <w:bottom w:val="none" w:sz="0" w:space="0" w:color="auto"/>
        <w:right w:val="none" w:sz="0" w:space="0" w:color="auto"/>
      </w:divBdr>
    </w:div>
    <w:div w:id="1799715674">
      <w:bodyDiv w:val="1"/>
      <w:marLeft w:val="0"/>
      <w:marRight w:val="0"/>
      <w:marTop w:val="0"/>
      <w:marBottom w:val="0"/>
      <w:divBdr>
        <w:top w:val="none" w:sz="0" w:space="0" w:color="auto"/>
        <w:left w:val="none" w:sz="0" w:space="0" w:color="auto"/>
        <w:bottom w:val="none" w:sz="0" w:space="0" w:color="auto"/>
        <w:right w:val="none" w:sz="0" w:space="0" w:color="auto"/>
      </w:divBdr>
    </w:div>
    <w:div w:id="1874657613">
      <w:bodyDiv w:val="1"/>
      <w:marLeft w:val="0"/>
      <w:marRight w:val="0"/>
      <w:marTop w:val="0"/>
      <w:marBottom w:val="0"/>
      <w:divBdr>
        <w:top w:val="none" w:sz="0" w:space="0" w:color="auto"/>
        <w:left w:val="none" w:sz="0" w:space="0" w:color="auto"/>
        <w:bottom w:val="none" w:sz="0" w:space="0" w:color="auto"/>
        <w:right w:val="none" w:sz="0" w:space="0" w:color="auto"/>
      </w:divBdr>
    </w:div>
    <w:div w:id="2054110218">
      <w:bodyDiv w:val="1"/>
      <w:marLeft w:val="0"/>
      <w:marRight w:val="0"/>
      <w:marTop w:val="0"/>
      <w:marBottom w:val="0"/>
      <w:divBdr>
        <w:top w:val="none" w:sz="0" w:space="0" w:color="auto"/>
        <w:left w:val="none" w:sz="0" w:space="0" w:color="auto"/>
        <w:bottom w:val="none" w:sz="0" w:space="0" w:color="auto"/>
        <w:right w:val="none" w:sz="0" w:space="0" w:color="auto"/>
      </w:divBdr>
    </w:div>
    <w:div w:id="21438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400"/>
              <a:t>Prison Vaccine Decline Rate Data - High Decline Rate Sites</a:t>
            </a:r>
          </a:p>
        </c:rich>
      </c:tx>
      <c:layout>
        <c:manualLayout>
          <c:xMode val="edge"/>
          <c:yMode val="edge"/>
          <c:x val="0.17004189230612041"/>
          <c:y val="2.7522935779816515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barChart>
        <c:barDir val="col"/>
        <c:grouping val="clustered"/>
        <c:varyColors val="0"/>
        <c:ser>
          <c:idx val="0"/>
          <c:order val="0"/>
          <c:tx>
            <c:strRef>
              <c:f>Sheet1!$B$28</c:f>
              <c:strCache>
                <c:ptCount val="1"/>
                <c:pt idx="0">
                  <c:v>Local Decline Rates</c:v>
                </c:pt>
              </c:strCache>
            </c:strRef>
          </c:tx>
          <c:spPr>
            <a:solidFill>
              <a:srgbClr val="7030A0"/>
            </a:solidFill>
            <a:ln>
              <a:noFill/>
            </a:ln>
            <a:effectLst/>
          </c:spPr>
          <c:invertIfNegative val="0"/>
          <c:cat>
            <c:strRef>
              <c:f>Sheet1!$A$29:$A$48</c:f>
              <c:strCache>
                <c:ptCount val="20"/>
                <c:pt idx="0">
                  <c:v>HMP Springhill</c:v>
                </c:pt>
                <c:pt idx="1">
                  <c:v>HMP/YOI Isis</c:v>
                </c:pt>
                <c:pt idx="2">
                  <c:v>HMP Pentonville</c:v>
                </c:pt>
                <c:pt idx="3">
                  <c:v>HMP Brinsford</c:v>
                </c:pt>
                <c:pt idx="4">
                  <c:v>HMP Brixton</c:v>
                </c:pt>
                <c:pt idx="5">
                  <c:v>HMP Coldingley</c:v>
                </c:pt>
                <c:pt idx="6">
                  <c:v>HMP Rochester</c:v>
                </c:pt>
                <c:pt idx="7">
                  <c:v>HMP Wandsworth</c:v>
                </c:pt>
                <c:pt idx="8">
                  <c:v>HMP/YOI Ayelsbury</c:v>
                </c:pt>
                <c:pt idx="9">
                  <c:v>HMP Onley</c:v>
                </c:pt>
                <c:pt idx="10">
                  <c:v>HMP Huntercombe</c:v>
                </c:pt>
                <c:pt idx="11">
                  <c:v>HMP/YOI Hindley</c:v>
                </c:pt>
                <c:pt idx="12">
                  <c:v>HMP Manchester</c:v>
                </c:pt>
                <c:pt idx="13">
                  <c:v>HMP Nottingham</c:v>
                </c:pt>
                <c:pt idx="14">
                  <c:v>HMP Dovegate</c:v>
                </c:pt>
                <c:pt idx="15">
                  <c:v>HMP Highpoint</c:v>
                </c:pt>
                <c:pt idx="16">
                  <c:v>HMP Oakwood</c:v>
                </c:pt>
                <c:pt idx="17">
                  <c:v>HMP Bristol</c:v>
                </c:pt>
                <c:pt idx="18">
                  <c:v>HMP Guys Marsh</c:v>
                </c:pt>
                <c:pt idx="19">
                  <c:v>HMP Liverpool</c:v>
                </c:pt>
              </c:strCache>
            </c:strRef>
          </c:cat>
          <c:val>
            <c:numRef>
              <c:f>Sheet1!$B$29:$B$48</c:f>
              <c:numCache>
                <c:formatCode>0%</c:formatCode>
                <c:ptCount val="20"/>
                <c:pt idx="0">
                  <c:v>0.22</c:v>
                </c:pt>
                <c:pt idx="1">
                  <c:v>0.53</c:v>
                </c:pt>
                <c:pt idx="2">
                  <c:v>0.26</c:v>
                </c:pt>
                <c:pt idx="3">
                  <c:v>0.27</c:v>
                </c:pt>
                <c:pt idx="4">
                  <c:v>0.2</c:v>
                </c:pt>
                <c:pt idx="5">
                  <c:v>0.25</c:v>
                </c:pt>
                <c:pt idx="6">
                  <c:v>0.28000000000000003</c:v>
                </c:pt>
                <c:pt idx="7">
                  <c:v>0.37</c:v>
                </c:pt>
                <c:pt idx="8">
                  <c:v>0.22</c:v>
                </c:pt>
                <c:pt idx="9">
                  <c:v>0.28000000000000003</c:v>
                </c:pt>
                <c:pt idx="10">
                  <c:v>0.15</c:v>
                </c:pt>
                <c:pt idx="11">
                  <c:v>0.28000000000000003</c:v>
                </c:pt>
                <c:pt idx="12" formatCode="0.00%">
                  <c:v>0.2</c:v>
                </c:pt>
                <c:pt idx="13">
                  <c:v>0.33</c:v>
                </c:pt>
                <c:pt idx="14">
                  <c:v>0.18</c:v>
                </c:pt>
                <c:pt idx="15">
                  <c:v>0.27</c:v>
                </c:pt>
                <c:pt idx="16">
                  <c:v>0.17</c:v>
                </c:pt>
                <c:pt idx="17">
                  <c:v>0.37</c:v>
                </c:pt>
                <c:pt idx="18">
                  <c:v>0.32</c:v>
                </c:pt>
                <c:pt idx="19">
                  <c:v>0.18</c:v>
                </c:pt>
              </c:numCache>
            </c:numRef>
          </c:val>
          <c:extLst>
            <c:ext xmlns:c16="http://schemas.microsoft.com/office/drawing/2014/chart" uri="{C3380CC4-5D6E-409C-BE32-E72D297353CC}">
              <c16:uniqueId val="{00000000-C64F-49ED-AD0E-A6695CC6427B}"/>
            </c:ext>
          </c:extLst>
        </c:ser>
        <c:ser>
          <c:idx val="1"/>
          <c:order val="1"/>
          <c:tx>
            <c:strRef>
              <c:f>Sheet1!$C$28</c:f>
              <c:strCache>
                <c:ptCount val="1"/>
                <c:pt idx="0">
                  <c:v>NHS Decline Rates</c:v>
                </c:pt>
              </c:strCache>
            </c:strRef>
          </c:tx>
          <c:spPr>
            <a:solidFill>
              <a:srgbClr val="00B0F0"/>
            </a:solidFill>
            <a:ln>
              <a:noFill/>
            </a:ln>
            <a:effectLst/>
          </c:spPr>
          <c:invertIfNegative val="0"/>
          <c:cat>
            <c:strRef>
              <c:f>Sheet1!$A$29:$A$48</c:f>
              <c:strCache>
                <c:ptCount val="20"/>
                <c:pt idx="0">
                  <c:v>HMP Springhill</c:v>
                </c:pt>
                <c:pt idx="1">
                  <c:v>HMP/YOI Isis</c:v>
                </c:pt>
                <c:pt idx="2">
                  <c:v>HMP Pentonville</c:v>
                </c:pt>
                <c:pt idx="3">
                  <c:v>HMP Brinsford</c:v>
                </c:pt>
                <c:pt idx="4">
                  <c:v>HMP Brixton</c:v>
                </c:pt>
                <c:pt idx="5">
                  <c:v>HMP Coldingley</c:v>
                </c:pt>
                <c:pt idx="6">
                  <c:v>HMP Rochester</c:v>
                </c:pt>
                <c:pt idx="7">
                  <c:v>HMP Wandsworth</c:v>
                </c:pt>
                <c:pt idx="8">
                  <c:v>HMP/YOI Ayelsbury</c:v>
                </c:pt>
                <c:pt idx="9">
                  <c:v>HMP Onley</c:v>
                </c:pt>
                <c:pt idx="10">
                  <c:v>HMP Huntercombe</c:v>
                </c:pt>
                <c:pt idx="11">
                  <c:v>HMP/YOI Hindley</c:v>
                </c:pt>
                <c:pt idx="12">
                  <c:v>HMP Manchester</c:v>
                </c:pt>
                <c:pt idx="13">
                  <c:v>HMP Nottingham</c:v>
                </c:pt>
                <c:pt idx="14">
                  <c:v>HMP Dovegate</c:v>
                </c:pt>
                <c:pt idx="15">
                  <c:v>HMP Highpoint</c:v>
                </c:pt>
                <c:pt idx="16">
                  <c:v>HMP Oakwood</c:v>
                </c:pt>
                <c:pt idx="17">
                  <c:v>HMP Bristol</c:v>
                </c:pt>
                <c:pt idx="18">
                  <c:v>HMP Guys Marsh</c:v>
                </c:pt>
                <c:pt idx="19">
                  <c:v>HMP Liverpool</c:v>
                </c:pt>
              </c:strCache>
            </c:strRef>
          </c:cat>
          <c:val>
            <c:numRef>
              <c:f>Sheet1!$C$29:$C$48</c:f>
              <c:numCache>
                <c:formatCode>0%</c:formatCode>
                <c:ptCount val="20"/>
                <c:pt idx="0">
                  <c:v>0.34545454545454546</c:v>
                </c:pt>
                <c:pt idx="1">
                  <c:v>0.34042553191489361</c:v>
                </c:pt>
                <c:pt idx="2">
                  <c:v>0.3168724279835391</c:v>
                </c:pt>
                <c:pt idx="3">
                  <c:v>0.31034482758620691</c:v>
                </c:pt>
                <c:pt idx="4">
                  <c:v>0.30847457627118646</c:v>
                </c:pt>
                <c:pt idx="5">
                  <c:v>0.29591836734693877</c:v>
                </c:pt>
                <c:pt idx="6">
                  <c:v>0.28561338289962801</c:v>
                </c:pt>
                <c:pt idx="7">
                  <c:v>0.28000000000000003</c:v>
                </c:pt>
                <c:pt idx="8">
                  <c:v>0.25</c:v>
                </c:pt>
                <c:pt idx="9">
                  <c:v>0.23952095808383234</c:v>
                </c:pt>
                <c:pt idx="10">
                  <c:v>0.23863636363636365</c:v>
                </c:pt>
                <c:pt idx="11">
                  <c:v>0.23809523809523808</c:v>
                </c:pt>
                <c:pt idx="12">
                  <c:v>0.23510971786833901</c:v>
                </c:pt>
                <c:pt idx="13">
                  <c:v>0.22784810126582278</c:v>
                </c:pt>
                <c:pt idx="14">
                  <c:v>0.21080139372822299</c:v>
                </c:pt>
                <c:pt idx="15">
                  <c:v>0.20689655172413793</c:v>
                </c:pt>
                <c:pt idx="16">
                  <c:v>0.20501635768811341</c:v>
                </c:pt>
                <c:pt idx="17">
                  <c:v>0.2</c:v>
                </c:pt>
                <c:pt idx="18">
                  <c:v>0.2</c:v>
                </c:pt>
                <c:pt idx="19">
                  <c:v>0.16</c:v>
                </c:pt>
              </c:numCache>
            </c:numRef>
          </c:val>
          <c:extLst>
            <c:ext xmlns:c16="http://schemas.microsoft.com/office/drawing/2014/chart" uri="{C3380CC4-5D6E-409C-BE32-E72D297353CC}">
              <c16:uniqueId val="{00000001-C64F-49ED-AD0E-A6695CC6427B}"/>
            </c:ext>
          </c:extLst>
        </c:ser>
        <c:dLbls>
          <c:showLegendKey val="0"/>
          <c:showVal val="0"/>
          <c:showCatName val="0"/>
          <c:showSerName val="0"/>
          <c:showPercent val="0"/>
          <c:showBubbleSize val="0"/>
        </c:dLbls>
        <c:gapWidth val="219"/>
        <c:overlap val="-27"/>
        <c:axId val="1293849608"/>
        <c:axId val="1293849936"/>
      </c:barChart>
      <c:catAx>
        <c:axId val="129384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293849936"/>
        <c:crosses val="autoZero"/>
        <c:auto val="1"/>
        <c:lblAlgn val="ctr"/>
        <c:lblOffset val="100"/>
        <c:noMultiLvlLbl val="0"/>
      </c:catAx>
      <c:valAx>
        <c:axId val="129384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293849608"/>
        <c:crosses val="autoZero"/>
        <c:crossBetween val="between"/>
      </c:valAx>
      <c:spPr>
        <a:noFill/>
        <a:ln>
          <a:noFill/>
        </a:ln>
        <a:effectLst/>
      </c:spPr>
    </c:plotArea>
    <c:legend>
      <c:legendPos val="b"/>
      <c:layout>
        <c:manualLayout>
          <c:xMode val="edge"/>
          <c:yMode val="edge"/>
          <c:x val="0.24741271553712935"/>
          <c:y val="0.8863987957387679"/>
          <c:w val="0.51305445704861152"/>
          <c:h val="7.928747877103596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400"/>
              <a:t>Prison Vaccine Decline Rate Data - Low Decline Rate Sites </a:t>
            </a:r>
          </a:p>
        </c:rich>
      </c:tx>
      <c:layout>
        <c:manualLayout>
          <c:xMode val="edge"/>
          <c:yMode val="edge"/>
          <c:x val="0.1734363515043251"/>
          <c:y val="3.79347112860892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manualLayout>
          <c:layoutTarget val="inner"/>
          <c:xMode val="edge"/>
          <c:yMode val="edge"/>
          <c:x val="7.3267952075456555E-2"/>
          <c:y val="0.25500145815106445"/>
          <c:w val="0.90235801734621413"/>
          <c:h val="0.34735244469137222"/>
        </c:manualLayout>
      </c:layout>
      <c:barChart>
        <c:barDir val="col"/>
        <c:grouping val="clustered"/>
        <c:varyColors val="0"/>
        <c:ser>
          <c:idx val="0"/>
          <c:order val="0"/>
          <c:tx>
            <c:strRef>
              <c:f>Sheet1!$B$58</c:f>
              <c:strCache>
                <c:ptCount val="1"/>
                <c:pt idx="0">
                  <c:v>NHS Decline Rates - 08.03.2021</c:v>
                </c:pt>
              </c:strCache>
            </c:strRef>
          </c:tx>
          <c:spPr>
            <a:solidFill>
              <a:srgbClr val="00B0F0"/>
            </a:solidFill>
            <a:ln>
              <a:noFill/>
            </a:ln>
            <a:effectLst/>
          </c:spPr>
          <c:invertIfNegative val="0"/>
          <c:cat>
            <c:strRef>
              <c:f>Sheet1!$A$59:$A$64</c:f>
              <c:strCache>
                <c:ptCount val="6"/>
                <c:pt idx="0">
                  <c:v>HMP Ashield</c:v>
                </c:pt>
                <c:pt idx="1">
                  <c:v>HMP/YO Highdown (Mass Vacs)</c:v>
                </c:pt>
                <c:pt idx="2">
                  <c:v>HMP Wealstun </c:v>
                </c:pt>
                <c:pt idx="3">
                  <c:v>HMP Buckley Hall</c:v>
                </c:pt>
                <c:pt idx="4">
                  <c:v>HMP Thameside </c:v>
                </c:pt>
                <c:pt idx="5">
                  <c:v>HMP Styal </c:v>
                </c:pt>
              </c:strCache>
            </c:strRef>
          </c:cat>
          <c:val>
            <c:numRef>
              <c:f>Sheet1!$B$59:$B$64</c:f>
              <c:numCache>
                <c:formatCode>0%</c:formatCode>
                <c:ptCount val="6"/>
                <c:pt idx="0">
                  <c:v>0</c:v>
                </c:pt>
                <c:pt idx="1">
                  <c:v>0</c:v>
                </c:pt>
                <c:pt idx="2">
                  <c:v>0.03</c:v>
                </c:pt>
                <c:pt idx="3">
                  <c:v>0.04</c:v>
                </c:pt>
                <c:pt idx="4">
                  <c:v>0.05</c:v>
                </c:pt>
                <c:pt idx="5">
                  <c:v>0.02</c:v>
                </c:pt>
              </c:numCache>
            </c:numRef>
          </c:val>
          <c:extLst>
            <c:ext xmlns:c16="http://schemas.microsoft.com/office/drawing/2014/chart" uri="{C3380CC4-5D6E-409C-BE32-E72D297353CC}">
              <c16:uniqueId val="{00000000-A8D9-4A40-AE6D-B181B77A60C7}"/>
            </c:ext>
          </c:extLst>
        </c:ser>
        <c:ser>
          <c:idx val="1"/>
          <c:order val="1"/>
          <c:tx>
            <c:strRef>
              <c:f>Sheet1!$C$58</c:f>
              <c:strCache>
                <c:ptCount val="1"/>
                <c:pt idx="0">
                  <c:v>Local Decline Rates</c:v>
                </c:pt>
              </c:strCache>
            </c:strRef>
          </c:tx>
          <c:spPr>
            <a:solidFill>
              <a:srgbClr val="7030A0"/>
            </a:solidFill>
            <a:ln>
              <a:noFill/>
            </a:ln>
            <a:effectLst/>
          </c:spPr>
          <c:invertIfNegative val="0"/>
          <c:cat>
            <c:strRef>
              <c:f>Sheet1!$A$59:$A$64</c:f>
              <c:strCache>
                <c:ptCount val="6"/>
                <c:pt idx="0">
                  <c:v>HMP Ashield</c:v>
                </c:pt>
                <c:pt idx="1">
                  <c:v>HMP/YO Highdown (Mass Vacs)</c:v>
                </c:pt>
                <c:pt idx="2">
                  <c:v>HMP Wealstun </c:v>
                </c:pt>
                <c:pt idx="3">
                  <c:v>HMP Buckley Hall</c:v>
                </c:pt>
                <c:pt idx="4">
                  <c:v>HMP Thameside </c:v>
                </c:pt>
                <c:pt idx="5">
                  <c:v>HMP Styal </c:v>
                </c:pt>
              </c:strCache>
            </c:strRef>
          </c:cat>
          <c:val>
            <c:numRef>
              <c:f>Sheet1!$C$59:$C$64</c:f>
              <c:numCache>
                <c:formatCode>0%</c:formatCode>
                <c:ptCount val="6"/>
                <c:pt idx="0">
                  <c:v>0.04</c:v>
                </c:pt>
                <c:pt idx="1">
                  <c:v>0.27</c:v>
                </c:pt>
                <c:pt idx="2">
                  <c:v>0.15</c:v>
                </c:pt>
                <c:pt idx="3">
                  <c:v>0.12</c:v>
                </c:pt>
                <c:pt idx="4">
                  <c:v>0.18</c:v>
                </c:pt>
                <c:pt idx="5">
                  <c:v>0.1</c:v>
                </c:pt>
              </c:numCache>
            </c:numRef>
          </c:val>
          <c:extLst>
            <c:ext xmlns:c16="http://schemas.microsoft.com/office/drawing/2014/chart" uri="{C3380CC4-5D6E-409C-BE32-E72D297353CC}">
              <c16:uniqueId val="{00000001-A8D9-4A40-AE6D-B181B77A60C7}"/>
            </c:ext>
          </c:extLst>
        </c:ser>
        <c:dLbls>
          <c:showLegendKey val="0"/>
          <c:showVal val="0"/>
          <c:showCatName val="0"/>
          <c:showSerName val="0"/>
          <c:showPercent val="0"/>
          <c:showBubbleSize val="0"/>
        </c:dLbls>
        <c:gapWidth val="219"/>
        <c:overlap val="-27"/>
        <c:axId val="704339464"/>
        <c:axId val="704336840"/>
      </c:barChart>
      <c:catAx>
        <c:axId val="70433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04336840"/>
        <c:crosses val="autoZero"/>
        <c:auto val="1"/>
        <c:lblAlgn val="ctr"/>
        <c:lblOffset val="100"/>
        <c:noMultiLvlLbl val="0"/>
      </c:catAx>
      <c:valAx>
        <c:axId val="704336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704339464"/>
        <c:crosses val="autoZero"/>
        <c:crossBetween val="between"/>
      </c:valAx>
      <c:spPr>
        <a:noFill/>
        <a:ln>
          <a:noFill/>
        </a:ln>
        <a:effectLst/>
      </c:spPr>
    </c:plotArea>
    <c:legend>
      <c:legendPos val="b"/>
      <c:layout>
        <c:manualLayout>
          <c:xMode val="edge"/>
          <c:yMode val="edge"/>
          <c:x val="0.21201797976912895"/>
          <c:y val="0.82870549835116769"/>
          <c:w val="0.55956891801067132"/>
          <c:h val="7.727740763173833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600"/>
              <a:t>Community and Prison </a:t>
            </a:r>
            <a:r>
              <a:rPr lang="en-GB" sz="1400"/>
              <a:t>Vaccine</a:t>
            </a:r>
            <a:r>
              <a:rPr lang="en-GB" sz="1600"/>
              <a:t> Hesitancy by Region </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Sheet1!$B$17</c:f>
              <c:strCache>
                <c:ptCount val="1"/>
                <c:pt idx="0">
                  <c:v>NHS Regional Prison Vaccine Hesitancy - 15.04.21</c:v>
                </c:pt>
              </c:strCache>
            </c:strRef>
          </c:tx>
          <c:spPr>
            <a:solidFill>
              <a:srgbClr val="631D97"/>
            </a:solidFill>
            <a:ln>
              <a:noFill/>
            </a:ln>
            <a:effectLst/>
            <a:sp3d/>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Sheet1!$A$18:$A$24</c:f>
              <c:strCache>
                <c:ptCount val="7"/>
                <c:pt idx="0">
                  <c:v>East of England</c:v>
                </c:pt>
                <c:pt idx="1">
                  <c:v>London</c:v>
                </c:pt>
                <c:pt idx="2">
                  <c:v>Midlands </c:v>
                </c:pt>
                <c:pt idx="3">
                  <c:v>North East &amp; Yorkshire</c:v>
                </c:pt>
                <c:pt idx="4">
                  <c:v>North West </c:v>
                </c:pt>
                <c:pt idx="5">
                  <c:v>South East</c:v>
                </c:pt>
                <c:pt idx="6">
                  <c:v>South West</c:v>
                </c:pt>
              </c:strCache>
            </c:strRef>
          </c:cat>
          <c:val>
            <c:numRef>
              <c:f>Sheet1!$B$18:$B$24</c:f>
              <c:numCache>
                <c:formatCode>0%</c:formatCode>
                <c:ptCount val="7"/>
                <c:pt idx="0">
                  <c:v>0.17</c:v>
                </c:pt>
                <c:pt idx="1">
                  <c:v>0.39</c:v>
                </c:pt>
                <c:pt idx="2">
                  <c:v>0.2</c:v>
                </c:pt>
                <c:pt idx="3">
                  <c:v>0.13</c:v>
                </c:pt>
                <c:pt idx="4">
                  <c:v>0.17</c:v>
                </c:pt>
                <c:pt idx="5">
                  <c:v>0.25</c:v>
                </c:pt>
                <c:pt idx="6">
                  <c:v>0.1</c:v>
                </c:pt>
              </c:numCache>
            </c:numRef>
          </c:val>
          <c:extLst>
            <c:ext xmlns:c16="http://schemas.microsoft.com/office/drawing/2014/chart" uri="{C3380CC4-5D6E-409C-BE32-E72D297353CC}">
              <c16:uniqueId val="{00000000-AF40-4453-AC55-C35C760C49D9}"/>
            </c:ext>
          </c:extLst>
        </c:ser>
        <c:ser>
          <c:idx val="1"/>
          <c:order val="1"/>
          <c:tx>
            <c:strRef>
              <c:f>Sheet1!$C$17</c:f>
              <c:strCache>
                <c:ptCount val="1"/>
                <c:pt idx="0">
                  <c:v>Community Regional Vaccine Hesitency - 31.03.21-25.04.21</c:v>
                </c:pt>
              </c:strCache>
            </c:strRef>
          </c:tx>
          <c:spPr>
            <a:solidFill>
              <a:srgbClr val="00B0F0"/>
            </a:solidFill>
            <a:ln>
              <a:noFill/>
            </a:ln>
            <a:effectLst/>
            <a:sp3d/>
          </c:spPr>
          <c:invertIfNegative val="0"/>
          <c:dLbls>
            <c:dLbl>
              <c:idx val="0"/>
              <c:layout>
                <c:manualLayout>
                  <c:x val="7.1551714424149225E-3"/>
                  <c:y val="-1.125821650348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40-4453-AC55-C35C760C49D9}"/>
                </c:ext>
              </c:extLst>
            </c:dLbl>
            <c:dLbl>
              <c:idx val="1"/>
              <c:layout>
                <c:manualLayout>
                  <c:x val="8.9439643030186939E-3"/>
                  <c:y val="-8.44366237761132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40-4453-AC55-C35C760C49D9}"/>
                </c:ext>
              </c:extLst>
            </c:dLbl>
            <c:dLbl>
              <c:idx val="2"/>
              <c:layout>
                <c:manualLayout>
                  <c:x val="1.2521550024226171E-2"/>
                  <c:y val="-1.9701878881092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40-4453-AC55-C35C760C49D9}"/>
                </c:ext>
              </c:extLst>
            </c:dLbl>
            <c:dLbl>
              <c:idx val="3"/>
              <c:layout>
                <c:manualLayout>
                  <c:x val="7.1551714424148895E-3"/>
                  <c:y val="-1.1258216503481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40-4453-AC55-C35C760C49D9}"/>
                </c:ext>
              </c:extLst>
            </c:dLbl>
            <c:dLbl>
              <c:idx val="4"/>
              <c:layout>
                <c:manualLayout>
                  <c:x val="1.0732757163622432E-2"/>
                  <c:y val="-1.6887324755222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40-4453-AC55-C35C760C49D9}"/>
                </c:ext>
              </c:extLst>
            </c:dLbl>
            <c:dLbl>
              <c:idx val="5"/>
              <c:layout>
                <c:manualLayout>
                  <c:x val="1.4310342884829909E-2"/>
                  <c:y val="-1.6887324755222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40-4453-AC55-C35C760C49D9}"/>
                </c:ext>
              </c:extLst>
            </c:dLbl>
            <c:dLbl>
              <c:idx val="6"/>
              <c:layout>
                <c:manualLayout>
                  <c:x val="8.9439643030186939E-3"/>
                  <c:y val="-8.44366237761121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40-4453-AC55-C35C760C49D9}"/>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Sheet1!$A$18:$A$24</c:f>
              <c:strCache>
                <c:ptCount val="7"/>
                <c:pt idx="0">
                  <c:v>East of England</c:v>
                </c:pt>
                <c:pt idx="1">
                  <c:v>London</c:v>
                </c:pt>
                <c:pt idx="2">
                  <c:v>Midlands </c:v>
                </c:pt>
                <c:pt idx="3">
                  <c:v>North East &amp; Yorkshire</c:v>
                </c:pt>
                <c:pt idx="4">
                  <c:v>North West </c:v>
                </c:pt>
                <c:pt idx="5">
                  <c:v>South East</c:v>
                </c:pt>
                <c:pt idx="6">
                  <c:v>South West</c:v>
                </c:pt>
              </c:strCache>
            </c:strRef>
          </c:cat>
          <c:val>
            <c:numRef>
              <c:f>Sheet1!$C$18:$C$24</c:f>
              <c:numCache>
                <c:formatCode>0%</c:formatCode>
                <c:ptCount val="7"/>
                <c:pt idx="0">
                  <c:v>0.05</c:v>
                </c:pt>
                <c:pt idx="1">
                  <c:v>0.09</c:v>
                </c:pt>
                <c:pt idx="2">
                  <c:v>7.0000000000000007E-2</c:v>
                </c:pt>
                <c:pt idx="3">
                  <c:v>0.06</c:v>
                </c:pt>
                <c:pt idx="4">
                  <c:v>0.08</c:v>
                </c:pt>
                <c:pt idx="5">
                  <c:v>0.06</c:v>
                </c:pt>
                <c:pt idx="6">
                  <c:v>0.04</c:v>
                </c:pt>
              </c:numCache>
            </c:numRef>
          </c:val>
          <c:extLst>
            <c:ext xmlns:c16="http://schemas.microsoft.com/office/drawing/2014/chart" uri="{C3380CC4-5D6E-409C-BE32-E72D297353CC}">
              <c16:uniqueId val="{00000008-AF40-4453-AC55-C35C760C49D9}"/>
            </c:ext>
          </c:extLst>
        </c:ser>
        <c:dLbls>
          <c:showLegendKey val="0"/>
          <c:showVal val="1"/>
          <c:showCatName val="0"/>
          <c:showSerName val="0"/>
          <c:showPercent val="0"/>
          <c:showBubbleSize val="0"/>
        </c:dLbls>
        <c:gapWidth val="150"/>
        <c:shape val="box"/>
        <c:axId val="494711928"/>
        <c:axId val="494671384"/>
        <c:axId val="0"/>
      </c:bar3DChart>
      <c:catAx>
        <c:axId val="494711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94671384"/>
        <c:crosses val="autoZero"/>
        <c:auto val="1"/>
        <c:lblAlgn val="ctr"/>
        <c:lblOffset val="100"/>
        <c:noMultiLvlLbl val="0"/>
      </c:catAx>
      <c:valAx>
        <c:axId val="494671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94711928"/>
        <c:crosses val="autoZero"/>
        <c:crossBetween val="between"/>
      </c:valAx>
      <c:spPr>
        <a:noFill/>
        <a:ln>
          <a:noFill/>
        </a:ln>
        <a:effectLst/>
      </c:spPr>
    </c:plotArea>
    <c:legend>
      <c:legendPos val="b"/>
      <c:layout>
        <c:manualLayout>
          <c:xMode val="edge"/>
          <c:yMode val="edge"/>
          <c:x val="3.0315047866966996E-2"/>
          <c:y val="0.86864885098191236"/>
          <c:w val="0.89999996253520287"/>
          <c:h val="8.6174351296071011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1400"/>
              <a:t>Prison and Community Decline rates based on 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Sheet1!$E$106</c:f>
              <c:strCache>
                <c:ptCount val="1"/>
                <c:pt idx="0">
                  <c:v>Prison Vaccine Decline rates by Ethnicity</c:v>
                </c:pt>
              </c:strCache>
            </c:strRef>
          </c:tx>
          <c:spPr>
            <a:solidFill>
              <a:srgbClr val="631D97"/>
            </a:solidFill>
            <a:ln>
              <a:noFill/>
            </a:ln>
            <a:effectLst/>
            <a:sp3d/>
          </c:spPr>
          <c:invertIfNegative val="0"/>
          <c:dLbls>
            <c:dLbl>
              <c:idx val="0"/>
              <c:layout>
                <c:manualLayout>
                  <c:x val="1.4328055785777515E-2"/>
                  <c:y val="-2.5516058373955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DD-482A-BE31-62547E74A49D}"/>
                </c:ext>
              </c:extLst>
            </c:dLbl>
            <c:dLbl>
              <c:idx val="1"/>
              <c:layout>
                <c:manualLayout>
                  <c:x val="8.9550348661109475E-3"/>
                  <c:y val="-1.984582317974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DD-482A-BE31-62547E74A49D}"/>
                </c:ext>
              </c:extLst>
            </c:dLbl>
            <c:dLbl>
              <c:idx val="2"/>
              <c:layout>
                <c:manualLayout>
                  <c:x val="7.1640278928887576E-3"/>
                  <c:y val="-1.7010705582636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DD-482A-BE31-62547E74A49D}"/>
                </c:ext>
              </c:extLst>
            </c:dLbl>
            <c:dLbl>
              <c:idx val="3"/>
              <c:layout>
                <c:manualLayout>
                  <c:x val="1.4328055785777515E-2"/>
                  <c:y val="-2.5516058373955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DD-482A-BE31-62547E74A49D}"/>
                </c:ext>
              </c:extLst>
            </c:dLbl>
            <c:dLbl>
              <c:idx val="4"/>
              <c:layout>
                <c:manualLayout>
                  <c:x val="1.0746041839333136E-2"/>
                  <c:y val="-1.9845823179742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DD-482A-BE31-62547E74A49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Sheet1!$D$107:$D$111</c:f>
              <c:strCache>
                <c:ptCount val="5"/>
                <c:pt idx="0">
                  <c:v>White</c:v>
                </c:pt>
                <c:pt idx="1">
                  <c:v>Black or Black British</c:v>
                </c:pt>
                <c:pt idx="2">
                  <c:v>Asian or Asian British</c:v>
                </c:pt>
                <c:pt idx="3">
                  <c:v>Mixed or Multiple Ethnic Groups</c:v>
                </c:pt>
                <c:pt idx="4">
                  <c:v>Chinese or Other Ethnic Groups</c:v>
                </c:pt>
              </c:strCache>
            </c:strRef>
          </c:cat>
          <c:val>
            <c:numRef>
              <c:f>Sheet1!$E$107:$E$111</c:f>
              <c:numCache>
                <c:formatCode>0%</c:formatCode>
                <c:ptCount val="5"/>
                <c:pt idx="0">
                  <c:v>0.17</c:v>
                </c:pt>
                <c:pt idx="1">
                  <c:v>0.47</c:v>
                </c:pt>
                <c:pt idx="2">
                  <c:v>0.26</c:v>
                </c:pt>
                <c:pt idx="3">
                  <c:v>0.4</c:v>
                </c:pt>
                <c:pt idx="4">
                  <c:v>0.34</c:v>
                </c:pt>
              </c:numCache>
            </c:numRef>
          </c:val>
          <c:extLst>
            <c:ext xmlns:c16="http://schemas.microsoft.com/office/drawing/2014/chart" uri="{C3380CC4-5D6E-409C-BE32-E72D297353CC}">
              <c16:uniqueId val="{00000005-1ADD-482A-BE31-62547E74A49D}"/>
            </c:ext>
          </c:extLst>
        </c:ser>
        <c:ser>
          <c:idx val="1"/>
          <c:order val="1"/>
          <c:tx>
            <c:strRef>
              <c:f>Sheet1!$F$106</c:f>
              <c:strCache>
                <c:ptCount val="1"/>
                <c:pt idx="0">
                  <c:v>Community Vaccine Decline rates by Ethnicity</c:v>
                </c:pt>
              </c:strCache>
            </c:strRef>
          </c:tx>
          <c:spPr>
            <a:solidFill>
              <a:srgbClr val="00B0F0"/>
            </a:solidFill>
            <a:ln>
              <a:noFill/>
            </a:ln>
            <a:effectLst/>
            <a:sp3d/>
          </c:spPr>
          <c:invertIfNegative val="0"/>
          <c:dLbls>
            <c:dLbl>
              <c:idx val="0"/>
              <c:layout>
                <c:manualLayout>
                  <c:x val="1.4328055785777515E-2"/>
                  <c:y val="-1.7010705582636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DD-482A-BE31-62547E74A49D}"/>
                </c:ext>
              </c:extLst>
            </c:dLbl>
            <c:dLbl>
              <c:idx val="1"/>
              <c:layout>
                <c:manualLayout>
                  <c:x val="1.0746041839333071E-2"/>
                  <c:y val="-2.2680940776848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DD-482A-BE31-62547E74A49D}"/>
                </c:ext>
              </c:extLst>
            </c:dLbl>
            <c:dLbl>
              <c:idx val="2"/>
              <c:layout>
                <c:manualLayout>
                  <c:x val="1.6119062758999637E-2"/>
                  <c:y val="-1.1340470388424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DD-482A-BE31-62547E74A49D}"/>
                </c:ext>
              </c:extLst>
            </c:dLbl>
            <c:dLbl>
              <c:idx val="3"/>
              <c:layout>
                <c:manualLayout>
                  <c:x val="8.9550348661109475E-3"/>
                  <c:y val="-2.2680940776849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DD-482A-BE31-62547E74A49D}"/>
                </c:ext>
              </c:extLst>
            </c:dLbl>
            <c:dLbl>
              <c:idx val="4"/>
              <c:layout>
                <c:manualLayout>
                  <c:x val="1.2537048812555325E-2"/>
                  <c:y val="-1.701070558263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DD-482A-BE31-62547E74A49D}"/>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Sheet1!$D$107:$D$111</c:f>
              <c:strCache>
                <c:ptCount val="5"/>
                <c:pt idx="0">
                  <c:v>White</c:v>
                </c:pt>
                <c:pt idx="1">
                  <c:v>Black or Black British</c:v>
                </c:pt>
                <c:pt idx="2">
                  <c:v>Asian or Asian British</c:v>
                </c:pt>
                <c:pt idx="3">
                  <c:v>Mixed or Multiple Ethnic Groups</c:v>
                </c:pt>
                <c:pt idx="4">
                  <c:v>Chinese or Other Ethnic Groups</c:v>
                </c:pt>
              </c:strCache>
            </c:strRef>
          </c:cat>
          <c:val>
            <c:numRef>
              <c:f>Sheet1!$F$107:$F$111</c:f>
              <c:numCache>
                <c:formatCode>0%</c:formatCode>
                <c:ptCount val="5"/>
                <c:pt idx="0">
                  <c:v>0.06</c:v>
                </c:pt>
                <c:pt idx="1">
                  <c:v>0.3</c:v>
                </c:pt>
                <c:pt idx="2">
                  <c:v>0.1</c:v>
                </c:pt>
                <c:pt idx="3">
                  <c:v>0.12</c:v>
                </c:pt>
                <c:pt idx="4">
                  <c:v>0.09</c:v>
                </c:pt>
              </c:numCache>
            </c:numRef>
          </c:val>
          <c:extLst>
            <c:ext xmlns:c16="http://schemas.microsoft.com/office/drawing/2014/chart" uri="{C3380CC4-5D6E-409C-BE32-E72D297353CC}">
              <c16:uniqueId val="{0000000B-1ADD-482A-BE31-62547E74A49D}"/>
            </c:ext>
          </c:extLst>
        </c:ser>
        <c:dLbls>
          <c:showLegendKey val="0"/>
          <c:showVal val="1"/>
          <c:showCatName val="0"/>
          <c:showSerName val="0"/>
          <c:showPercent val="0"/>
          <c:showBubbleSize val="0"/>
        </c:dLbls>
        <c:gapWidth val="150"/>
        <c:shape val="box"/>
        <c:axId val="1184397032"/>
        <c:axId val="1184398016"/>
        <c:axId val="0"/>
      </c:bar3DChart>
      <c:catAx>
        <c:axId val="1184397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184398016"/>
        <c:crosses val="autoZero"/>
        <c:auto val="1"/>
        <c:lblAlgn val="ctr"/>
        <c:lblOffset val="100"/>
        <c:noMultiLvlLbl val="0"/>
      </c:catAx>
      <c:valAx>
        <c:axId val="118439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118439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8B7EFED863645870DA22518178A09" ma:contentTypeVersion="10" ma:contentTypeDescription="Create a new document." ma:contentTypeScope="" ma:versionID="bee257e97f6dc9a1051a545eba697813">
  <xsd:schema xmlns:xsd="http://www.w3.org/2001/XMLSchema" xmlns:xs="http://www.w3.org/2001/XMLSchema" xmlns:p="http://schemas.microsoft.com/office/2006/metadata/properties" xmlns:ns3="605e57b7-2226-491b-ad75-3bcfdad53792" xmlns:ns4="2e81559d-39b7-41fd-bd06-597b33b146b0" targetNamespace="http://schemas.microsoft.com/office/2006/metadata/properties" ma:root="true" ma:fieldsID="6aa7a22ef7d005f877e62b0ca2cafd01" ns3:_="" ns4:_="">
    <xsd:import namespace="605e57b7-2226-491b-ad75-3bcfdad53792"/>
    <xsd:import namespace="2e81559d-39b7-41fd-bd06-597b33b146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e57b7-2226-491b-ad75-3bcfdad5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1559d-39b7-41fd-bd06-597b33b14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FDFCB-CF70-4E6D-B662-F57BD01BA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E04F2-9D0D-4E38-8D08-9F19203E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e57b7-2226-491b-ad75-3bcfdad53792"/>
    <ds:schemaRef ds:uri="2e81559d-39b7-41fd-bd06-597b33b14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0C92B-D147-41BC-A58E-9568541A2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24504</CharactersWithSpaces>
  <SharedDoc>false</SharedDoc>
  <HLinks>
    <vt:vector size="42" baseType="variant">
      <vt:variant>
        <vt:i4>6619237</vt:i4>
      </vt:variant>
      <vt:variant>
        <vt:i4>18</vt:i4>
      </vt:variant>
      <vt:variant>
        <vt:i4>0</vt:i4>
      </vt:variant>
      <vt:variant>
        <vt:i4>5</vt:i4>
      </vt:variant>
      <vt:variant>
        <vt:lpwstr>https://www.theguardian.com/australia-news/2020/nov/20/disadvantaged-and-strongly-religious-people-less-likely-to-get-covid-vaccine-survey</vt:lpwstr>
      </vt:variant>
      <vt:variant>
        <vt:lpwstr/>
      </vt:variant>
      <vt:variant>
        <vt:i4>6946913</vt:i4>
      </vt:variant>
      <vt:variant>
        <vt:i4>15</vt:i4>
      </vt:variant>
      <vt:variant>
        <vt:i4>0</vt:i4>
      </vt:variant>
      <vt:variant>
        <vt:i4>5</vt:i4>
      </vt:variant>
      <vt:variant>
        <vt:lpwstr>https://www.ons.gov.uk/peoplepopulationandcommunity/healthandsocialcare/healthandwellbeing/bulletins/coronavirusandvaccinehesitancygreatbritain/latest</vt:lpwstr>
      </vt:variant>
      <vt:variant>
        <vt:lpwstr/>
      </vt:variant>
      <vt:variant>
        <vt:i4>4980748</vt:i4>
      </vt:variant>
      <vt:variant>
        <vt:i4>12</vt:i4>
      </vt:variant>
      <vt:variant>
        <vt:i4>0</vt:i4>
      </vt:variant>
      <vt:variant>
        <vt:i4>5</vt:i4>
      </vt:variant>
      <vt:variant>
        <vt:lpwstr>https://www.bmj.com/content/372/bmj.n513</vt:lpwstr>
      </vt:variant>
      <vt:variant>
        <vt:lpwstr/>
      </vt:variant>
      <vt:variant>
        <vt:i4>2555960</vt:i4>
      </vt:variant>
      <vt:variant>
        <vt:i4>9</vt:i4>
      </vt:variant>
      <vt:variant>
        <vt:i4>0</vt:i4>
      </vt:variant>
      <vt:variant>
        <vt:i4>5</vt:i4>
      </vt:variant>
      <vt:variant>
        <vt:lpwstr>https://www.thelancet.com/journals/lanepe/article/PIIS2666-7762(20)30012-0/fulltext</vt:lpwstr>
      </vt:variant>
      <vt:variant>
        <vt:lpwstr/>
      </vt:variant>
      <vt:variant>
        <vt:i4>327707</vt:i4>
      </vt:variant>
      <vt:variant>
        <vt:i4>6</vt:i4>
      </vt:variant>
      <vt:variant>
        <vt:i4>0</vt:i4>
      </vt:variant>
      <vt:variant>
        <vt:i4>5</vt:i4>
      </vt:variant>
      <vt:variant>
        <vt:lpwstr>https://www.ox.ac.uk/news/science-blog/covid-19-vaccine-hesitancy-uk</vt:lpwstr>
      </vt:variant>
      <vt:variant>
        <vt:lpwstr/>
      </vt:variant>
      <vt:variant>
        <vt:i4>3276895</vt:i4>
      </vt:variant>
      <vt:variant>
        <vt:i4>3</vt:i4>
      </vt:variant>
      <vt:variant>
        <vt:i4>0</vt:i4>
      </vt:variant>
      <vt:variant>
        <vt:i4>5</vt:i4>
      </vt:variant>
      <vt:variant>
        <vt:lpwstr>http://eprints.lse.ac.uk/68133/1/Newburn_Social Disadvantage and Crime.pdf</vt:lpwstr>
      </vt:variant>
      <vt:variant>
        <vt:lpwstr/>
      </vt:variant>
      <vt:variant>
        <vt:i4>8060986</vt:i4>
      </vt:variant>
      <vt:variant>
        <vt:i4>0</vt:i4>
      </vt:variant>
      <vt:variant>
        <vt:i4>0</vt:i4>
      </vt:variant>
      <vt:variant>
        <vt:i4>5</vt:i4>
      </vt:variant>
      <vt:variant>
        <vt:lpwstr>https://www.ons.gov.uk/peoplepopulationandcommunity/healthandsocialcare/healthandwellbeing/bulletins/coronavirusandvaccinehesitancygreatbritain/17februaryto14march2021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Nicholas</dc:creator>
  <cp:keywords/>
  <dc:description/>
  <cp:lastModifiedBy>Ledgard, Tarryn</cp:lastModifiedBy>
  <cp:revision>7</cp:revision>
  <dcterms:created xsi:type="dcterms:W3CDTF">2021-05-13T16:53:00Z</dcterms:created>
  <dcterms:modified xsi:type="dcterms:W3CDTF">2021-07-01T10:49:00Z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0x0101003A48B7EFED863645870DA22518178A09</vt:lpwstr>
  </property>
</Properties>
</file>