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DFF4" w14:textId="77777777" w:rsidR="00DE3392" w:rsidRPr="00DE3392" w:rsidRDefault="00DE3392" w:rsidP="00DE3392">
      <w:pPr>
        <w:pStyle w:val="Platzhalter"/>
        <w:spacing w:line="240" w:lineRule="auto"/>
        <w:rPr>
          <w:i w:val="0"/>
          <w:szCs w:val="24"/>
          <w:lang w:val="en-GB"/>
        </w:rPr>
      </w:pPr>
      <w:r w:rsidRPr="00DE3392">
        <w:rPr>
          <w:i w:val="0"/>
          <w:szCs w:val="24"/>
          <w:lang w:val="en-GB"/>
        </w:rPr>
        <w:t>University of Tübingen</w:t>
      </w:r>
    </w:p>
    <w:p w14:paraId="3B3C6397" w14:textId="77777777" w:rsidR="00DE3392" w:rsidRPr="00DE3392" w:rsidRDefault="00DE3392" w:rsidP="00DE3392">
      <w:pPr>
        <w:pStyle w:val="Platzhalter"/>
        <w:spacing w:line="240" w:lineRule="auto"/>
        <w:rPr>
          <w:i w:val="0"/>
          <w:szCs w:val="24"/>
          <w:lang w:val="en-GB"/>
        </w:rPr>
      </w:pPr>
      <w:r w:rsidRPr="00DE3392">
        <w:rPr>
          <w:i w:val="0"/>
          <w:szCs w:val="24"/>
          <w:lang w:val="en-GB"/>
        </w:rPr>
        <w:t>Institute of Tropical Medicine</w:t>
      </w:r>
    </w:p>
    <w:p w14:paraId="16C56A6E" w14:textId="77777777" w:rsidR="00DE3392" w:rsidRPr="00E37B55" w:rsidRDefault="00DE3392" w:rsidP="00DE3392">
      <w:pPr>
        <w:pStyle w:val="Platzhalter"/>
        <w:spacing w:line="240" w:lineRule="auto"/>
        <w:rPr>
          <w:i w:val="0"/>
          <w:szCs w:val="24"/>
          <w:lang w:val="en-GB"/>
        </w:rPr>
      </w:pPr>
      <w:r w:rsidRPr="00E37B55">
        <w:rPr>
          <w:i w:val="0"/>
          <w:szCs w:val="24"/>
          <w:lang w:val="en-GB"/>
        </w:rPr>
        <w:t xml:space="preserve">Clinical Trial Platform </w:t>
      </w:r>
    </w:p>
    <w:p w14:paraId="2E90B7E2" w14:textId="77777777" w:rsidR="00CE0D17" w:rsidRPr="00E37B55" w:rsidRDefault="00CE0D17" w:rsidP="00CE0D17">
      <w:pPr>
        <w:rPr>
          <w:rFonts w:ascii="Arial" w:hAnsi="Arial" w:cs="Arial"/>
          <w:lang w:val="en-GB" w:eastAsia="en-US" w:bidi="en-US"/>
        </w:rPr>
      </w:pPr>
    </w:p>
    <w:p w14:paraId="00EB1C3E" w14:textId="77777777" w:rsidR="00CE0D17" w:rsidRPr="00E37B55" w:rsidRDefault="00CE0D17" w:rsidP="00CE0D17">
      <w:pPr>
        <w:rPr>
          <w:rFonts w:ascii="Arial" w:hAnsi="Arial" w:cs="Arial"/>
          <w:lang w:val="en-GB" w:eastAsia="en-US" w:bidi="en-US"/>
        </w:rPr>
      </w:pPr>
    </w:p>
    <w:p w14:paraId="56A72068" w14:textId="6538BEA2" w:rsidR="00CE0D17" w:rsidRPr="004C736A" w:rsidRDefault="00833C7E" w:rsidP="00CE0D17">
      <w:pPr>
        <w:pStyle w:val="Title"/>
        <w:jc w:val="center"/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GB"/>
        </w:rPr>
        <w:t>Process Description</w:t>
      </w:r>
    </w:p>
    <w:p w14:paraId="6493243A" w14:textId="77777777" w:rsidR="00CE0D17" w:rsidRPr="004C736A" w:rsidRDefault="00CE0D17" w:rsidP="00CE0D17">
      <w:pPr>
        <w:pStyle w:val="Title"/>
        <w:jc w:val="center"/>
        <w:rPr>
          <w:bCs/>
          <w:color w:val="auto"/>
          <w:lang w:val="en-US"/>
        </w:rPr>
      </w:pPr>
    </w:p>
    <w:p w14:paraId="7BE1A054" w14:textId="4B51F464" w:rsidR="00DE3392" w:rsidRPr="004C736A" w:rsidRDefault="00177A37" w:rsidP="00DE3392">
      <w:pPr>
        <w:pStyle w:val="Platzhalter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SOP0</w:t>
      </w:r>
      <w:r w:rsidR="003E4F84">
        <w:rPr>
          <w:i w:val="0"/>
          <w:sz w:val="28"/>
          <w:szCs w:val="28"/>
        </w:rPr>
        <w:t>11</w:t>
      </w:r>
      <w:r w:rsidR="00C9068A">
        <w:rPr>
          <w:i w:val="0"/>
          <w:sz w:val="28"/>
          <w:szCs w:val="28"/>
        </w:rPr>
        <w:t>b</w:t>
      </w:r>
      <w:r w:rsidR="00DE3392" w:rsidRPr="004C736A">
        <w:rPr>
          <w:i w:val="0"/>
          <w:sz w:val="28"/>
          <w:szCs w:val="28"/>
        </w:rPr>
        <w:t>-ITM CTP</w:t>
      </w:r>
    </w:p>
    <w:p w14:paraId="19D0BFDD" w14:textId="77777777" w:rsidR="00DE3392" w:rsidRPr="004C736A" w:rsidRDefault="00DE3392" w:rsidP="00DE3392">
      <w:pPr>
        <w:pStyle w:val="Platzhalter"/>
        <w:jc w:val="center"/>
        <w:rPr>
          <w:i w:val="0"/>
          <w:sz w:val="28"/>
          <w:szCs w:val="28"/>
        </w:rPr>
      </w:pPr>
    </w:p>
    <w:p w14:paraId="785D32CF" w14:textId="16EE2484" w:rsidR="00CE0D17" w:rsidRPr="00DE3392" w:rsidRDefault="00AF1613" w:rsidP="00DE3392">
      <w:pPr>
        <w:pStyle w:val="Title"/>
        <w:tabs>
          <w:tab w:val="left" w:pos="2235"/>
        </w:tabs>
        <w:jc w:val="center"/>
        <w:rPr>
          <w:bCs/>
          <w:color w:val="auto"/>
          <w:lang w:val="en-GB"/>
        </w:rPr>
      </w:pPr>
      <w:r>
        <w:rPr>
          <w:bCs/>
          <w:color w:val="auto"/>
          <w:lang w:val="en-GB"/>
        </w:rPr>
        <w:t>Qualitative detection</w:t>
      </w:r>
      <w:r w:rsidR="004465DB" w:rsidRPr="004465DB">
        <w:rPr>
          <w:bCs/>
          <w:color w:val="auto"/>
          <w:lang w:val="en-GB"/>
        </w:rPr>
        <w:t xml:space="preserve"> of </w:t>
      </w:r>
      <w:r w:rsidR="00E52394">
        <w:rPr>
          <w:bCs/>
          <w:color w:val="auto"/>
          <w:lang w:val="en-GB"/>
        </w:rPr>
        <w:t xml:space="preserve">SARS </w:t>
      </w:r>
      <w:r>
        <w:rPr>
          <w:bCs/>
          <w:color w:val="auto"/>
          <w:lang w:val="en-GB"/>
        </w:rPr>
        <w:t>Coronavirus</w:t>
      </w:r>
      <w:r w:rsidR="00E52394">
        <w:rPr>
          <w:bCs/>
          <w:color w:val="auto"/>
          <w:lang w:val="en-GB"/>
        </w:rPr>
        <w:t>-2</w:t>
      </w:r>
      <w:r>
        <w:rPr>
          <w:bCs/>
          <w:color w:val="auto"/>
          <w:lang w:val="en-GB"/>
        </w:rPr>
        <w:t xml:space="preserve"> (</w:t>
      </w:r>
      <w:r w:rsidR="00E52394">
        <w:rPr>
          <w:bCs/>
          <w:color w:val="auto"/>
          <w:lang w:val="en-GB"/>
        </w:rPr>
        <w:t>SARS-CoV-2</w:t>
      </w:r>
      <w:r>
        <w:rPr>
          <w:bCs/>
          <w:color w:val="auto"/>
          <w:lang w:val="en-GB"/>
        </w:rPr>
        <w:t xml:space="preserve">) </w:t>
      </w:r>
      <w:r w:rsidR="004465DB" w:rsidRPr="004465DB">
        <w:rPr>
          <w:bCs/>
          <w:color w:val="auto"/>
          <w:lang w:val="en-GB"/>
        </w:rPr>
        <w:t xml:space="preserve">by </w:t>
      </w:r>
      <w:r>
        <w:rPr>
          <w:bCs/>
          <w:color w:val="auto"/>
          <w:lang w:val="en-GB"/>
        </w:rPr>
        <w:t>r</w:t>
      </w:r>
      <w:r w:rsidR="00CF20B9">
        <w:rPr>
          <w:bCs/>
          <w:color w:val="auto"/>
          <w:lang w:val="en-GB"/>
        </w:rPr>
        <w:t>everse transcription quantitative</w:t>
      </w:r>
      <w:r w:rsidR="004465DB" w:rsidRPr="004465DB">
        <w:rPr>
          <w:bCs/>
          <w:color w:val="auto"/>
          <w:lang w:val="en-GB"/>
        </w:rPr>
        <w:t xml:space="preserve"> PCR assay</w:t>
      </w:r>
      <w:r w:rsidR="00CF20B9">
        <w:rPr>
          <w:bCs/>
          <w:color w:val="auto"/>
          <w:lang w:val="en-GB"/>
        </w:rPr>
        <w:t xml:space="preserve"> </w:t>
      </w:r>
    </w:p>
    <w:p w14:paraId="2A7331E0" w14:textId="77777777" w:rsidR="00DE3392" w:rsidRPr="00DE3392" w:rsidRDefault="00DE3392" w:rsidP="00DE3392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765"/>
        <w:gridCol w:w="1798"/>
        <w:gridCol w:w="2316"/>
      </w:tblGrid>
      <w:tr w:rsidR="008139BF" w:rsidRPr="00DE3392" w14:paraId="4BD253E9" w14:textId="77777777" w:rsidTr="00A721AB">
        <w:trPr>
          <w:trHeight w:val="442"/>
        </w:trPr>
        <w:tc>
          <w:tcPr>
            <w:tcW w:w="1204" w:type="pct"/>
            <w:vAlign w:val="center"/>
          </w:tcPr>
          <w:p w14:paraId="36D68239" w14:textId="1A1E7ED4" w:rsidR="008139BF" w:rsidRPr="00DE3392" w:rsidRDefault="008139BF" w:rsidP="008139BF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Version:</w:t>
            </w:r>
          </w:p>
        </w:tc>
        <w:tc>
          <w:tcPr>
            <w:tcW w:w="1526" w:type="pct"/>
            <w:vAlign w:val="center"/>
          </w:tcPr>
          <w:p w14:paraId="5E4E987A" w14:textId="583862D6" w:rsidR="008139BF" w:rsidRPr="00DE3392" w:rsidRDefault="00F949D9" w:rsidP="00AF1613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V</w:t>
            </w:r>
            <w:r w:rsidR="00C9068A">
              <w:rPr>
                <w:rFonts w:ascii="Arial" w:hAnsi="Arial" w:cs="Arial"/>
                <w:b/>
                <w:sz w:val="22"/>
                <w:szCs w:val="22"/>
                <w:lang w:val="en-GB"/>
              </w:rPr>
              <w:t>0</w:t>
            </w:r>
            <w:r w:rsidR="00CF20B9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9D1B3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14:paraId="083C5D03" w14:textId="6ABDD728" w:rsidR="008139BF" w:rsidRPr="00DE3392" w:rsidRDefault="008139BF" w:rsidP="008139BF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Effective Date:</w:t>
            </w:r>
          </w:p>
        </w:tc>
        <w:tc>
          <w:tcPr>
            <w:tcW w:w="1278" w:type="pct"/>
            <w:vAlign w:val="center"/>
          </w:tcPr>
          <w:p w14:paraId="0EC8E3A8" w14:textId="48FB8D55" w:rsidR="008139BF" w:rsidRDefault="00C9068A" w:rsidP="009349FE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9068A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994A2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 </w:t>
            </w:r>
            <w:r w:rsidRPr="00C9068A">
              <w:rPr>
                <w:rFonts w:ascii="Arial" w:hAnsi="Arial" w:cs="Arial"/>
                <w:b/>
                <w:sz w:val="22"/>
                <w:szCs w:val="22"/>
                <w:lang w:val="en-GB"/>
              </w:rPr>
              <w:t>MAR2020</w:t>
            </w:r>
          </w:p>
        </w:tc>
      </w:tr>
      <w:tr w:rsidR="008139BF" w:rsidRPr="00DE3392" w14:paraId="74FF1B45" w14:textId="77777777" w:rsidTr="00A721AB">
        <w:trPr>
          <w:trHeight w:val="442"/>
        </w:trPr>
        <w:tc>
          <w:tcPr>
            <w:tcW w:w="1204" w:type="pct"/>
            <w:vAlign w:val="center"/>
            <w:hideMark/>
          </w:tcPr>
          <w:p w14:paraId="204D2FD3" w14:textId="1EF45160" w:rsidR="008139BF" w:rsidRPr="00DE3392" w:rsidRDefault="008139BF" w:rsidP="008139BF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Replaced </w:t>
            </w: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Version:</w:t>
            </w:r>
          </w:p>
        </w:tc>
        <w:tc>
          <w:tcPr>
            <w:tcW w:w="1526" w:type="pct"/>
            <w:vAlign w:val="center"/>
          </w:tcPr>
          <w:p w14:paraId="4C307623" w14:textId="15D0EB39" w:rsidR="008139BF" w:rsidRPr="00DE3392" w:rsidRDefault="008139BF" w:rsidP="008139BF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pct"/>
            <w:vAlign w:val="center"/>
            <w:hideMark/>
          </w:tcPr>
          <w:p w14:paraId="7A30F74D" w14:textId="0FF4068E" w:rsidR="008139BF" w:rsidRPr="00DE3392" w:rsidRDefault="008139BF" w:rsidP="008139BF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1278" w:type="pct"/>
            <w:vAlign w:val="center"/>
          </w:tcPr>
          <w:p w14:paraId="438C35F7" w14:textId="26AACCD6" w:rsidR="008139BF" w:rsidRPr="00DE3392" w:rsidRDefault="00E275AB" w:rsidP="006102AC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28</w:t>
            </w:r>
            <w:r w:rsidR="00CF20B9">
              <w:rPr>
                <w:rFonts w:ascii="Arial" w:hAnsi="Arial" w:cs="Arial"/>
                <w:b/>
                <w:sz w:val="22"/>
                <w:szCs w:val="22"/>
                <w:lang w:val="en-GB"/>
              </w:rPr>
              <w:t>/03/2020</w:t>
            </w:r>
          </w:p>
        </w:tc>
      </w:tr>
    </w:tbl>
    <w:p w14:paraId="046A9CA7" w14:textId="77777777" w:rsidR="00CE0D17" w:rsidRPr="00DE3392" w:rsidRDefault="00CE0D17" w:rsidP="00CE0D17">
      <w:pPr>
        <w:tabs>
          <w:tab w:val="left" w:pos="992"/>
          <w:tab w:val="left" w:pos="4395"/>
          <w:tab w:val="left" w:pos="6379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4485" w:type="pct"/>
        <w:tblLook w:val="01E0" w:firstRow="1" w:lastRow="1" w:firstColumn="1" w:lastColumn="1" w:noHBand="0" w:noVBand="0"/>
      </w:tblPr>
      <w:tblGrid>
        <w:gridCol w:w="3017"/>
        <w:gridCol w:w="1520"/>
        <w:gridCol w:w="3599"/>
      </w:tblGrid>
      <w:tr w:rsidR="00CE0D17" w:rsidRPr="00DE3392" w14:paraId="01520937" w14:textId="77777777" w:rsidTr="00DE3392">
        <w:tc>
          <w:tcPr>
            <w:tcW w:w="1854" w:type="pct"/>
            <w:hideMark/>
          </w:tcPr>
          <w:p w14:paraId="090861F4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A2725C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Author:</w:t>
            </w:r>
          </w:p>
        </w:tc>
        <w:tc>
          <w:tcPr>
            <w:tcW w:w="934" w:type="pct"/>
            <w:hideMark/>
          </w:tcPr>
          <w:p w14:paraId="7009E70B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F196F8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________</w:t>
            </w:r>
          </w:p>
        </w:tc>
        <w:tc>
          <w:tcPr>
            <w:tcW w:w="2212" w:type="pct"/>
            <w:hideMark/>
          </w:tcPr>
          <w:p w14:paraId="3D39793E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0ED0E7F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_________________</w:t>
            </w:r>
          </w:p>
        </w:tc>
      </w:tr>
      <w:tr w:rsidR="00CE0D17" w:rsidRPr="00DE3392" w14:paraId="117EA2E2" w14:textId="77777777" w:rsidTr="00DE3392">
        <w:tc>
          <w:tcPr>
            <w:tcW w:w="1854" w:type="pct"/>
          </w:tcPr>
          <w:p w14:paraId="433825BF" w14:textId="32FD5FCA" w:rsidR="00CE0D17" w:rsidRPr="00DE3392" w:rsidRDefault="00CF20B9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Albert Lalremruata</w:t>
            </w:r>
          </w:p>
        </w:tc>
        <w:tc>
          <w:tcPr>
            <w:tcW w:w="934" w:type="pct"/>
            <w:hideMark/>
          </w:tcPr>
          <w:p w14:paraId="5C0CF504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2212" w:type="pct"/>
            <w:hideMark/>
          </w:tcPr>
          <w:p w14:paraId="78207D95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</w:tr>
    </w:tbl>
    <w:p w14:paraId="423B855A" w14:textId="77777777" w:rsidR="00CE0D17" w:rsidRPr="00DE3392" w:rsidRDefault="00CE0D17" w:rsidP="00CE0D1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4485" w:type="pct"/>
        <w:tblLook w:val="01E0" w:firstRow="1" w:lastRow="1" w:firstColumn="1" w:lastColumn="1" w:noHBand="0" w:noVBand="0"/>
      </w:tblPr>
      <w:tblGrid>
        <w:gridCol w:w="3017"/>
        <w:gridCol w:w="1520"/>
        <w:gridCol w:w="3599"/>
      </w:tblGrid>
      <w:tr w:rsidR="00CE0D17" w:rsidRPr="00DE3392" w14:paraId="34552142" w14:textId="77777777" w:rsidTr="00DE3392">
        <w:tc>
          <w:tcPr>
            <w:tcW w:w="1854" w:type="pct"/>
            <w:hideMark/>
          </w:tcPr>
          <w:p w14:paraId="0077B1F4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F29278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Review:</w:t>
            </w:r>
          </w:p>
        </w:tc>
        <w:tc>
          <w:tcPr>
            <w:tcW w:w="934" w:type="pct"/>
            <w:hideMark/>
          </w:tcPr>
          <w:p w14:paraId="16E9BB3F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C120F7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________</w:t>
            </w:r>
          </w:p>
        </w:tc>
        <w:tc>
          <w:tcPr>
            <w:tcW w:w="2212" w:type="pct"/>
            <w:hideMark/>
          </w:tcPr>
          <w:p w14:paraId="4F1A60FC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077D0D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_________________</w:t>
            </w:r>
          </w:p>
        </w:tc>
      </w:tr>
      <w:tr w:rsidR="00CE0D17" w:rsidRPr="00DE3392" w14:paraId="182DFC44" w14:textId="77777777" w:rsidTr="00DE3392">
        <w:tc>
          <w:tcPr>
            <w:tcW w:w="1854" w:type="pct"/>
          </w:tcPr>
          <w:p w14:paraId="40E9AA08" w14:textId="7569C440" w:rsidR="00CE0D17" w:rsidRPr="00DE3392" w:rsidRDefault="00E52394" w:rsidP="00A24CF5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T.P. </w:t>
            </w:r>
            <w:r w:rsidR="00C9068A" w:rsidRPr="00C9068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Velavan </w:t>
            </w:r>
          </w:p>
        </w:tc>
        <w:tc>
          <w:tcPr>
            <w:tcW w:w="934" w:type="pct"/>
            <w:hideMark/>
          </w:tcPr>
          <w:p w14:paraId="5F2CD291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2212" w:type="pct"/>
            <w:hideMark/>
          </w:tcPr>
          <w:p w14:paraId="5596E076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</w:tr>
    </w:tbl>
    <w:p w14:paraId="373377AC" w14:textId="77777777" w:rsidR="00CE0D17" w:rsidRPr="00DE3392" w:rsidRDefault="00CE0D17" w:rsidP="00CE0D1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4485" w:type="pct"/>
        <w:tblLook w:val="01E0" w:firstRow="1" w:lastRow="1" w:firstColumn="1" w:lastColumn="1" w:noHBand="0" w:noVBand="0"/>
      </w:tblPr>
      <w:tblGrid>
        <w:gridCol w:w="3017"/>
        <w:gridCol w:w="1520"/>
        <w:gridCol w:w="3599"/>
      </w:tblGrid>
      <w:tr w:rsidR="00CE0D17" w:rsidRPr="00DE3392" w14:paraId="099DEBDB" w14:textId="77777777" w:rsidTr="00DE3392">
        <w:tc>
          <w:tcPr>
            <w:tcW w:w="1854" w:type="pct"/>
            <w:hideMark/>
          </w:tcPr>
          <w:p w14:paraId="4C82D973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DCF40E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Approval:</w:t>
            </w:r>
          </w:p>
        </w:tc>
        <w:tc>
          <w:tcPr>
            <w:tcW w:w="934" w:type="pct"/>
            <w:hideMark/>
          </w:tcPr>
          <w:p w14:paraId="018BB0C8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098726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________</w:t>
            </w:r>
          </w:p>
        </w:tc>
        <w:tc>
          <w:tcPr>
            <w:tcW w:w="2212" w:type="pct"/>
            <w:hideMark/>
          </w:tcPr>
          <w:p w14:paraId="7392BA3C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EFF77A5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_________________</w:t>
            </w:r>
          </w:p>
        </w:tc>
      </w:tr>
      <w:tr w:rsidR="00CE0D17" w:rsidRPr="00DE3392" w14:paraId="01230327" w14:textId="77777777" w:rsidTr="00DE3392">
        <w:tc>
          <w:tcPr>
            <w:tcW w:w="1854" w:type="pct"/>
          </w:tcPr>
          <w:p w14:paraId="0A6DEE27" w14:textId="6EEB0351" w:rsidR="00CE0D17" w:rsidRPr="00DE3392" w:rsidRDefault="00A3449F" w:rsidP="00C15F93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Meral Esen</w:t>
            </w:r>
          </w:p>
        </w:tc>
        <w:tc>
          <w:tcPr>
            <w:tcW w:w="934" w:type="pct"/>
            <w:hideMark/>
          </w:tcPr>
          <w:p w14:paraId="36560D7C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2212" w:type="pct"/>
            <w:hideMark/>
          </w:tcPr>
          <w:p w14:paraId="1E50142F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 xml:space="preserve">Signature </w:t>
            </w:r>
          </w:p>
        </w:tc>
      </w:tr>
    </w:tbl>
    <w:p w14:paraId="373CABDC" w14:textId="77777777" w:rsidR="00CE0D17" w:rsidRPr="00DE3392" w:rsidRDefault="00CE0D17" w:rsidP="00CE0D17">
      <w:pPr>
        <w:rPr>
          <w:rFonts w:ascii="Arial" w:hAnsi="Arial" w:cs="Arial"/>
          <w:sz w:val="22"/>
          <w:szCs w:val="22"/>
          <w:lang w:val="en-GB"/>
        </w:rPr>
      </w:pPr>
    </w:p>
    <w:p w14:paraId="2D99F5B5" w14:textId="77777777" w:rsidR="00CE0D17" w:rsidRPr="00DE3392" w:rsidRDefault="00CE0D17" w:rsidP="00CE0D1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7883"/>
      </w:tblGrid>
      <w:tr w:rsidR="00CE0D17" w:rsidRPr="00A3449F" w14:paraId="3AD3C846" w14:textId="77777777" w:rsidTr="00DE3392">
        <w:tc>
          <w:tcPr>
            <w:tcW w:w="1384" w:type="dxa"/>
            <w:shd w:val="clear" w:color="auto" w:fill="auto"/>
          </w:tcPr>
          <w:p w14:paraId="0673FD72" w14:textId="77777777" w:rsidR="00CE0D17" w:rsidRPr="00DE3392" w:rsidRDefault="00CE0D17" w:rsidP="00DE33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Applicability:</w:t>
            </w:r>
          </w:p>
          <w:p w14:paraId="2ACEA5FA" w14:textId="77777777" w:rsidR="00CE0D17" w:rsidRPr="00DE3392" w:rsidRDefault="00CE0D17" w:rsidP="00DE33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38" w:type="dxa"/>
            <w:shd w:val="clear" w:color="auto" w:fill="auto"/>
          </w:tcPr>
          <w:p w14:paraId="54C23E10" w14:textId="7AE9AEA3" w:rsidR="00CE0D17" w:rsidRPr="00CE69ED" w:rsidRDefault="00F416E2" w:rsidP="00AF16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6E2">
              <w:rPr>
                <w:rFonts w:ascii="Arial" w:hAnsi="Arial" w:cs="Arial"/>
                <w:sz w:val="22"/>
                <w:szCs w:val="22"/>
                <w:lang w:val="en-GB"/>
              </w:rPr>
              <w:t xml:space="preserve">This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Standard Operating Procedure (SOP)</w:t>
            </w:r>
            <w:r w:rsidRPr="00F416E2">
              <w:rPr>
                <w:rFonts w:ascii="Arial" w:hAnsi="Arial" w:cs="Arial"/>
                <w:sz w:val="22"/>
                <w:szCs w:val="22"/>
                <w:lang w:val="en-GB"/>
              </w:rPr>
              <w:t xml:space="preserve"> is applicable </w:t>
            </w:r>
            <w:r w:rsidR="00541E48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="00CE69ED" w:rsidRPr="00CE69ED">
              <w:rPr>
                <w:rFonts w:ascii="Arial" w:hAnsi="Arial" w:cs="Arial"/>
                <w:sz w:val="22"/>
                <w:szCs w:val="22"/>
                <w:lang w:val="en-GB"/>
              </w:rPr>
              <w:t>all personnel involved in detection</w:t>
            </w:r>
            <w:r w:rsidR="00CF20B9">
              <w:rPr>
                <w:rFonts w:ascii="Arial" w:hAnsi="Arial" w:cs="Arial"/>
                <w:sz w:val="22"/>
                <w:szCs w:val="22"/>
                <w:lang w:val="en-GB"/>
              </w:rPr>
              <w:t xml:space="preserve"> of</w:t>
            </w:r>
            <w:r w:rsidR="00CE69ED" w:rsidRPr="00CE69E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F1613">
              <w:rPr>
                <w:rFonts w:ascii="Arial" w:hAnsi="Arial" w:cs="Arial"/>
                <w:sz w:val="22"/>
                <w:szCs w:val="22"/>
                <w:lang w:val="en-GB"/>
              </w:rPr>
              <w:t>Coronavirus</w:t>
            </w:r>
            <w:r w:rsidR="00CF20B9">
              <w:rPr>
                <w:rFonts w:ascii="Arial" w:hAnsi="Arial" w:cs="Arial"/>
                <w:sz w:val="22"/>
                <w:szCs w:val="22"/>
                <w:lang w:val="en-GB"/>
              </w:rPr>
              <w:t xml:space="preserve"> (C</w:t>
            </w:r>
            <w:r w:rsidR="00AF1613">
              <w:rPr>
                <w:rFonts w:ascii="Arial" w:hAnsi="Arial" w:cs="Arial"/>
                <w:sz w:val="22"/>
                <w:szCs w:val="22"/>
                <w:lang w:val="en-GB"/>
              </w:rPr>
              <w:t>OVID</w:t>
            </w:r>
            <w:r w:rsidR="00CF20B9">
              <w:rPr>
                <w:rFonts w:ascii="Arial" w:hAnsi="Arial" w:cs="Arial"/>
                <w:sz w:val="22"/>
                <w:szCs w:val="22"/>
                <w:lang w:val="en-GB"/>
              </w:rPr>
              <w:t>-19)</w:t>
            </w:r>
            <w:r w:rsidR="00CE69ED" w:rsidRPr="00CE69ED">
              <w:rPr>
                <w:rFonts w:ascii="Arial" w:hAnsi="Arial" w:cs="Arial"/>
                <w:sz w:val="22"/>
                <w:szCs w:val="22"/>
                <w:lang w:val="en-GB"/>
              </w:rPr>
              <w:t xml:space="preserve"> by </w:t>
            </w:r>
            <w:r w:rsidR="00CF20B9">
              <w:rPr>
                <w:rFonts w:ascii="Arial" w:hAnsi="Arial" w:cs="Arial"/>
                <w:sz w:val="22"/>
                <w:szCs w:val="22"/>
                <w:lang w:val="en-GB"/>
              </w:rPr>
              <w:t>RT-q</w:t>
            </w:r>
            <w:r w:rsidR="00CE69ED" w:rsidRPr="00CE69ED">
              <w:rPr>
                <w:rFonts w:ascii="Arial" w:hAnsi="Arial" w:cs="Arial"/>
                <w:sz w:val="22"/>
                <w:szCs w:val="22"/>
                <w:lang w:val="en-GB"/>
              </w:rPr>
              <w:t>PCR assay.</w:t>
            </w:r>
          </w:p>
        </w:tc>
      </w:tr>
    </w:tbl>
    <w:p w14:paraId="008380C2" w14:textId="77777777" w:rsidR="00432361" w:rsidRDefault="00432361" w:rsidP="00CE0D17">
      <w:pPr>
        <w:rPr>
          <w:rFonts w:ascii="Arial" w:hAnsi="Arial" w:cs="Arial"/>
          <w:sz w:val="22"/>
          <w:szCs w:val="22"/>
          <w:lang w:val="en-GB"/>
        </w:rPr>
      </w:pPr>
    </w:p>
    <w:p w14:paraId="5419136D" w14:textId="77777777" w:rsidR="00541E48" w:rsidRDefault="00541E48" w:rsidP="00CE0D17">
      <w:pPr>
        <w:rPr>
          <w:rFonts w:ascii="Arial" w:hAnsi="Arial" w:cs="Arial"/>
          <w:sz w:val="22"/>
          <w:szCs w:val="22"/>
          <w:lang w:val="en-GB"/>
        </w:rPr>
      </w:pPr>
    </w:p>
    <w:p w14:paraId="610B1922" w14:textId="77777777" w:rsidR="00541E48" w:rsidRDefault="00541E48" w:rsidP="00CE0D17">
      <w:pPr>
        <w:rPr>
          <w:rFonts w:ascii="Arial" w:hAnsi="Arial" w:cs="Arial"/>
          <w:sz w:val="22"/>
          <w:szCs w:val="22"/>
          <w:lang w:val="en-GB"/>
        </w:rPr>
      </w:pPr>
    </w:p>
    <w:p w14:paraId="4507106C" w14:textId="77777777" w:rsidR="00541E48" w:rsidRDefault="00541E48" w:rsidP="00CE0D17">
      <w:pPr>
        <w:rPr>
          <w:rFonts w:ascii="Arial" w:hAnsi="Arial" w:cs="Arial"/>
          <w:sz w:val="22"/>
          <w:szCs w:val="22"/>
          <w:lang w:val="en-GB"/>
        </w:rPr>
      </w:pPr>
    </w:p>
    <w:p w14:paraId="3B0DDB9F" w14:textId="77777777" w:rsidR="00541E48" w:rsidRDefault="00541E48" w:rsidP="00CE0D17">
      <w:pPr>
        <w:rPr>
          <w:rFonts w:ascii="Arial" w:hAnsi="Arial" w:cs="Arial"/>
          <w:sz w:val="22"/>
          <w:szCs w:val="22"/>
          <w:lang w:val="en-GB"/>
        </w:rPr>
      </w:pPr>
    </w:p>
    <w:p w14:paraId="1DAF3B2E" w14:textId="77777777" w:rsidR="00541E48" w:rsidRDefault="00541E48" w:rsidP="00CE0D17">
      <w:pPr>
        <w:rPr>
          <w:rFonts w:ascii="Arial" w:hAnsi="Arial" w:cs="Arial"/>
          <w:sz w:val="22"/>
          <w:szCs w:val="22"/>
          <w:lang w:val="en-GB"/>
        </w:rPr>
      </w:pPr>
    </w:p>
    <w:p w14:paraId="0B2195EE" w14:textId="77777777" w:rsidR="009349FE" w:rsidRDefault="009349FE" w:rsidP="00CE0D17">
      <w:pPr>
        <w:rPr>
          <w:rFonts w:ascii="Arial" w:hAnsi="Arial" w:cs="Arial"/>
          <w:sz w:val="22"/>
          <w:szCs w:val="22"/>
          <w:lang w:val="en-GB"/>
        </w:rPr>
      </w:pPr>
    </w:p>
    <w:p w14:paraId="22818B3A" w14:textId="77777777" w:rsidR="009349FE" w:rsidRDefault="009349FE" w:rsidP="00CE0D17">
      <w:pPr>
        <w:rPr>
          <w:rFonts w:ascii="Arial" w:hAnsi="Arial" w:cs="Arial"/>
          <w:sz w:val="22"/>
          <w:szCs w:val="22"/>
          <w:lang w:val="en-GB"/>
        </w:rPr>
      </w:pPr>
    </w:p>
    <w:p w14:paraId="5EC6F9A6" w14:textId="77777777" w:rsidR="009349FE" w:rsidRDefault="009349FE" w:rsidP="00CE0D17">
      <w:pPr>
        <w:rPr>
          <w:rFonts w:ascii="Arial" w:hAnsi="Arial" w:cs="Arial"/>
          <w:sz w:val="22"/>
          <w:szCs w:val="22"/>
          <w:lang w:val="en-GB"/>
        </w:rPr>
      </w:pPr>
    </w:p>
    <w:p w14:paraId="12643D62" w14:textId="77777777" w:rsidR="009349FE" w:rsidRDefault="009349FE" w:rsidP="00CE0D17">
      <w:pPr>
        <w:rPr>
          <w:rFonts w:ascii="Arial" w:hAnsi="Arial" w:cs="Arial"/>
          <w:sz w:val="22"/>
          <w:szCs w:val="22"/>
          <w:lang w:val="en-GB"/>
        </w:rPr>
      </w:pPr>
    </w:p>
    <w:p w14:paraId="356989E3" w14:textId="2CDB9B4A" w:rsidR="00541E48" w:rsidRPr="00DE3392" w:rsidRDefault="00AF1613" w:rsidP="00CE0D1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67EDADF3" w14:textId="77777777" w:rsidR="00CE0D17" w:rsidRPr="00DE3392" w:rsidRDefault="00CE0D17" w:rsidP="00CE0D17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DE3392"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 xml:space="preserve">Document </w:t>
      </w:r>
      <w:r w:rsidRPr="00DE3392">
        <w:rPr>
          <w:rFonts w:ascii="Arial" w:hAnsi="Arial" w:cs="Arial"/>
          <w:b/>
          <w:bCs/>
          <w:sz w:val="22"/>
          <w:szCs w:val="22"/>
          <w:u w:val="single"/>
          <w:lang w:val="en-GB"/>
        </w:rPr>
        <w:t>History:</w:t>
      </w:r>
    </w:p>
    <w:p w14:paraId="2437341F" w14:textId="77777777" w:rsidR="00CE0D17" w:rsidRPr="00DE3392" w:rsidRDefault="00CE0D17" w:rsidP="00CE0D17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tbl>
      <w:tblPr>
        <w:tblW w:w="9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25"/>
        <w:gridCol w:w="7790"/>
      </w:tblGrid>
      <w:tr w:rsidR="00CE0D17" w:rsidRPr="00A3449F" w14:paraId="763E6B6F" w14:textId="77777777" w:rsidTr="00A721AB">
        <w:trPr>
          <w:trHeight w:val="290"/>
        </w:trPr>
        <w:tc>
          <w:tcPr>
            <w:tcW w:w="1525" w:type="dxa"/>
            <w:vAlign w:val="center"/>
            <w:hideMark/>
          </w:tcPr>
          <w:p w14:paraId="74D751DD" w14:textId="61294B20" w:rsidR="00CE0D17" w:rsidRPr="00DE3392" w:rsidRDefault="00A1469E" w:rsidP="00DE339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Version-No</w:t>
            </w:r>
            <w:r w:rsidR="00CE0D17" w:rsidRPr="00DE3392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790" w:type="dxa"/>
            <w:vAlign w:val="center"/>
            <w:hideMark/>
          </w:tcPr>
          <w:p w14:paraId="036C8BDE" w14:textId="77777777" w:rsidR="00CE0D17" w:rsidRPr="00DE3392" w:rsidRDefault="00CE0D17" w:rsidP="00DE339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b/>
                <w:sz w:val="22"/>
                <w:szCs w:val="22"/>
                <w:lang w:val="en-GB"/>
              </w:rPr>
              <w:t>Description of changes (eventually reasons of changes)</w:t>
            </w:r>
          </w:p>
        </w:tc>
      </w:tr>
      <w:tr w:rsidR="00C665D1" w:rsidRPr="00A3449F" w14:paraId="71C1E918" w14:textId="77777777" w:rsidTr="00A721AB">
        <w:tc>
          <w:tcPr>
            <w:tcW w:w="1525" w:type="dxa"/>
            <w:vAlign w:val="center"/>
          </w:tcPr>
          <w:p w14:paraId="75F174A4" w14:textId="7FE126D8" w:rsidR="00C665D1" w:rsidRDefault="00C665D1" w:rsidP="00CF20B9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790" w:type="dxa"/>
          </w:tcPr>
          <w:p w14:paraId="4B14A31A" w14:textId="704A7755" w:rsidR="00C665D1" w:rsidRPr="00AF1613" w:rsidRDefault="00C665D1" w:rsidP="00A721AB">
            <w:pPr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542489B" w14:textId="77777777" w:rsidR="005D538B" w:rsidRDefault="005D538B" w:rsidP="00E37B55">
      <w:pPr>
        <w:spacing w:line="276" w:lineRule="auto"/>
        <w:rPr>
          <w:rFonts w:ascii="Arial" w:hAnsi="Arial" w:cs="Arial"/>
          <w:lang w:val="en-GB"/>
        </w:rPr>
      </w:pPr>
    </w:p>
    <w:p w14:paraId="4AE8237F" w14:textId="77777777" w:rsidR="005D538B" w:rsidRPr="00E37B55" w:rsidRDefault="005D538B" w:rsidP="00E37B55">
      <w:pPr>
        <w:spacing w:line="276" w:lineRule="auto"/>
        <w:rPr>
          <w:rFonts w:ascii="Arial" w:hAnsi="Arial" w:cs="Arial"/>
          <w:lang w:val="en-GB"/>
        </w:rPr>
      </w:pPr>
    </w:p>
    <w:sdt>
      <w:sdtPr>
        <w:rPr>
          <w:rFonts w:ascii="Arial" w:eastAsiaTheme="minorHAnsi" w:hAnsi="Arial" w:cs="Arial"/>
          <w:b/>
          <w:bCs/>
          <w:lang w:val="en-GB"/>
        </w:rPr>
        <w:id w:val="4406687"/>
        <w:docPartObj>
          <w:docPartGallery w:val="Table of Contents"/>
          <w:docPartUnique/>
        </w:docPartObj>
      </w:sdtPr>
      <w:sdtEndPr>
        <w:rPr>
          <w:rFonts w:eastAsia="Times New Roman"/>
          <w:b w:val="0"/>
          <w:bCs w:val="0"/>
        </w:rPr>
      </w:sdtEndPr>
      <w:sdtContent>
        <w:p w14:paraId="68F34103" w14:textId="77777777" w:rsidR="00DE3392" w:rsidRPr="00E37B55" w:rsidRDefault="00DE3392" w:rsidP="00E37B55">
          <w:pPr>
            <w:spacing w:line="276" w:lineRule="auto"/>
            <w:rPr>
              <w:rFonts w:ascii="Arial" w:hAnsi="Arial" w:cs="Arial"/>
              <w:b/>
              <w:sz w:val="28"/>
              <w:szCs w:val="28"/>
              <w:lang w:val="en-GB"/>
            </w:rPr>
          </w:pPr>
          <w:r w:rsidRPr="00E37B55">
            <w:rPr>
              <w:rFonts w:ascii="Arial" w:hAnsi="Arial" w:cs="Arial"/>
              <w:b/>
              <w:sz w:val="28"/>
              <w:szCs w:val="28"/>
              <w:lang w:val="en-GB"/>
            </w:rPr>
            <w:t>Table of Contents</w:t>
          </w:r>
        </w:p>
        <w:p w14:paraId="5B81DD74" w14:textId="3AF2B352" w:rsidR="00467011" w:rsidRDefault="00DE3392">
          <w:pPr>
            <w:pStyle w:val="TOC1"/>
            <w:tabs>
              <w:tab w:val="left" w:pos="48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E37B55">
            <w:rPr>
              <w:rFonts w:ascii="Arial" w:hAnsi="Arial" w:cs="Arial"/>
              <w:lang w:val="en-GB"/>
            </w:rPr>
            <w:fldChar w:fldCharType="begin"/>
          </w:r>
          <w:r w:rsidRPr="00E37B55">
            <w:rPr>
              <w:rFonts w:ascii="Arial" w:hAnsi="Arial" w:cs="Arial"/>
              <w:lang w:val="en-GB"/>
            </w:rPr>
            <w:instrText xml:space="preserve"> TOC \o "1-3" \h \z \u </w:instrText>
          </w:r>
          <w:r w:rsidRPr="00E37B55">
            <w:rPr>
              <w:rFonts w:ascii="Arial" w:hAnsi="Arial" w:cs="Arial"/>
              <w:lang w:val="en-GB"/>
            </w:rPr>
            <w:fldChar w:fldCharType="separate"/>
          </w:r>
          <w:hyperlink w:anchor="_Toc36489712" w:history="1">
            <w:r w:rsidR="00467011" w:rsidRPr="0088592B">
              <w:rPr>
                <w:rStyle w:val="Hyperlink"/>
                <w:noProof/>
                <w:lang w:val="en-GB"/>
              </w:rPr>
              <w:t>1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  <w:lang w:val="en-GB"/>
              </w:rPr>
              <w:t>Purpose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_Toc36489712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3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2019A520" w14:textId="3870C57D" w:rsidR="00467011" w:rsidRDefault="00751C0E">
          <w:pPr>
            <w:pStyle w:val="TOC1"/>
            <w:tabs>
              <w:tab w:val="left" w:pos="48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6489713" w:history="1">
            <w:r w:rsidR="00467011" w:rsidRPr="0088592B">
              <w:rPr>
                <w:rStyle w:val="Hyperlink"/>
                <w:noProof/>
                <w:lang w:val="en-GB"/>
              </w:rPr>
              <w:t>2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  <w:lang w:val="en-GB"/>
              </w:rPr>
              <w:t>Definitions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_Toc36489713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3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12E08B61" w14:textId="2139BADD" w:rsidR="00467011" w:rsidRDefault="00751C0E">
          <w:pPr>
            <w:pStyle w:val="TOC1"/>
            <w:tabs>
              <w:tab w:val="left" w:pos="48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6489714" w:history="1">
            <w:r w:rsidR="00467011" w:rsidRPr="0088592B">
              <w:rPr>
                <w:rStyle w:val="Hyperlink"/>
                <w:noProof/>
                <w:lang w:val="en-GB"/>
              </w:rPr>
              <w:t>3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  <w:lang w:val="en-GB"/>
              </w:rPr>
              <w:t>Responsibilities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_Toc36489714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3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4B4FB80B" w14:textId="5734F690" w:rsidR="00467011" w:rsidRDefault="00751C0E">
          <w:pPr>
            <w:pStyle w:val="TOC1"/>
            <w:tabs>
              <w:tab w:val="left" w:pos="48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6489715" w:history="1">
            <w:r w:rsidR="00467011" w:rsidRPr="0088592B">
              <w:rPr>
                <w:rStyle w:val="Hyperlink"/>
                <w:noProof/>
                <w:lang w:val="en-GB"/>
              </w:rPr>
              <w:t>4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  <w:lang w:val="en-GB"/>
              </w:rPr>
              <w:t>Procedure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_Toc36489715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3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4C54537D" w14:textId="00174752" w:rsidR="00467011" w:rsidRDefault="00751C0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6489716" w:history="1">
            <w:r w:rsidR="00467011" w:rsidRPr="0088592B">
              <w:rPr>
                <w:rStyle w:val="Hyperlink"/>
                <w:noProof/>
                <w:lang w:val="en-US"/>
              </w:rPr>
              <w:t>4.1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</w:rPr>
              <w:t>Preliminaries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_Toc36489716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3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5A13C5EA" w14:textId="65C3183E" w:rsidR="00467011" w:rsidRDefault="00751C0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6489717" w:history="1">
            <w:r w:rsidR="00467011" w:rsidRPr="0088592B">
              <w:rPr>
                <w:rStyle w:val="Hyperlink"/>
                <w:noProof/>
              </w:rPr>
              <w:t>4.2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</w:rPr>
              <w:t>Template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_Toc36489717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4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439C843D" w14:textId="261FD6B8" w:rsidR="00467011" w:rsidRDefault="00751C0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6489718" w:history="1">
            <w:r w:rsidR="00467011" w:rsidRPr="0088592B">
              <w:rPr>
                <w:rStyle w:val="Hyperlink"/>
                <w:noProof/>
              </w:rPr>
              <w:t>4.3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</w:rPr>
              <w:t>Materials and reagents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_Toc36489718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4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6689F704" w14:textId="52144DC8" w:rsidR="00467011" w:rsidRDefault="00751C0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6489719" w:history="1">
            <w:r w:rsidR="00467011" w:rsidRPr="0088592B">
              <w:rPr>
                <w:rStyle w:val="Hyperlink"/>
                <w:noProof/>
                <w:lang w:val="en-GB"/>
              </w:rPr>
              <w:t>4.4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  <w:lang w:val="en-GB"/>
              </w:rPr>
              <w:t>Instrument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_Toc36489719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4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55D65302" w14:textId="208A7722" w:rsidR="00467011" w:rsidRDefault="00751C0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6489720" w:history="1">
            <w:r w:rsidR="00467011" w:rsidRPr="0088592B">
              <w:rPr>
                <w:rStyle w:val="Hyperlink"/>
                <w:noProof/>
                <w:lang w:val="en-US"/>
              </w:rPr>
              <w:t>4.5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  <w:lang w:val="en-US"/>
              </w:rPr>
              <w:t>Procedural description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_Toc36489720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4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1A3B458D" w14:textId="7FA1B8CF" w:rsidR="00467011" w:rsidRDefault="00751C0E">
          <w:pPr>
            <w:pStyle w:val="TOC3"/>
            <w:tabs>
              <w:tab w:val="left" w:pos="132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6489721" w:history="1">
            <w:r w:rsidR="00467011" w:rsidRPr="0088592B">
              <w:rPr>
                <w:rStyle w:val="Hyperlink"/>
                <w:noProof/>
                <w:lang w:val="en-US"/>
              </w:rPr>
              <w:t>4.5.1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  <w:lang w:val="en-US"/>
              </w:rPr>
              <w:t>Setting up QIAgility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_Toc36489721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4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6EE7F32F" w14:textId="53E6FA11" w:rsidR="00467011" w:rsidRDefault="00751C0E">
          <w:pPr>
            <w:pStyle w:val="TOC3"/>
            <w:tabs>
              <w:tab w:val="left" w:pos="132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6489722" w:history="1">
            <w:r w:rsidR="00467011" w:rsidRPr="0088592B">
              <w:rPr>
                <w:rStyle w:val="Hyperlink"/>
                <w:noProof/>
                <w:lang w:val="en-US"/>
              </w:rPr>
              <w:t>4.5.2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  <w:lang w:val="en-US"/>
              </w:rPr>
              <w:t>Preparing a master mix for reaction setup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_Toc36489722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5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53693E6B" w14:textId="148DB36A" w:rsidR="00467011" w:rsidRDefault="00751C0E">
          <w:pPr>
            <w:pStyle w:val="TOC3"/>
            <w:tabs>
              <w:tab w:val="left" w:pos="132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6489723" w:history="1">
            <w:r w:rsidR="00467011" w:rsidRPr="0088592B">
              <w:rPr>
                <w:rStyle w:val="Hyperlink"/>
                <w:noProof/>
                <w:lang w:val="en-US"/>
              </w:rPr>
              <w:t>4.5.3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  <w:lang w:val="en-US"/>
              </w:rPr>
              <w:t>Creating a sample bank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_Toc36489723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5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078C81E4" w14:textId="62077EBC" w:rsidR="00467011" w:rsidRDefault="00751C0E">
          <w:pPr>
            <w:pStyle w:val="TOC3"/>
            <w:tabs>
              <w:tab w:val="left" w:pos="132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6489724" w:history="1">
            <w:r w:rsidR="00467011" w:rsidRPr="0088592B">
              <w:rPr>
                <w:rStyle w:val="Hyperlink"/>
                <w:noProof/>
                <w:lang w:val="en-US"/>
              </w:rPr>
              <w:t>4.5.4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  <w:lang w:val="en-US"/>
              </w:rPr>
              <w:t>Setting up a reaction list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_Toc36489724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5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345FB456" w14:textId="5236CCC5" w:rsidR="00467011" w:rsidRDefault="00751C0E">
          <w:pPr>
            <w:pStyle w:val="TOC3"/>
            <w:tabs>
              <w:tab w:val="left" w:pos="132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6489725" w:history="1">
            <w:r w:rsidR="00467011" w:rsidRPr="0088592B">
              <w:rPr>
                <w:rStyle w:val="Hyperlink"/>
                <w:noProof/>
                <w:lang w:val="en-US"/>
              </w:rPr>
              <w:t>4.5.5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  <w:lang w:val="en-US"/>
              </w:rPr>
              <w:t>Set tip usage options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_Toc36489725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6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56961D09" w14:textId="47B92F26" w:rsidR="00467011" w:rsidRDefault="00751C0E">
          <w:pPr>
            <w:pStyle w:val="TOC3"/>
            <w:tabs>
              <w:tab w:val="left" w:pos="132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6489726" w:history="1">
            <w:r w:rsidR="00467011" w:rsidRPr="0088592B">
              <w:rPr>
                <w:rStyle w:val="Hyperlink"/>
                <w:noProof/>
                <w:lang w:val="en-US"/>
              </w:rPr>
              <w:t>4.5.6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  <w:lang w:val="en-US"/>
              </w:rPr>
              <w:t>Starting a run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_Toc36489726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6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57E4BB49" w14:textId="57AD21B8" w:rsidR="00467011" w:rsidRDefault="00751C0E">
          <w:pPr>
            <w:pStyle w:val="TOC3"/>
            <w:tabs>
              <w:tab w:val="left" w:pos="132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6489727" w:history="1">
            <w:r w:rsidR="00467011" w:rsidRPr="0088592B">
              <w:rPr>
                <w:rStyle w:val="Hyperlink"/>
                <w:noProof/>
                <w:lang w:val="en-US"/>
              </w:rPr>
              <w:t>4.5.7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  <w:lang w:val="en-US"/>
              </w:rPr>
              <w:t>Master mix setup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_Toc36489727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6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7CF1B143" w14:textId="51C9AE8E" w:rsidR="00467011" w:rsidRDefault="00751C0E">
          <w:pPr>
            <w:pStyle w:val="TOC3"/>
            <w:tabs>
              <w:tab w:val="left" w:pos="132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6489728" w:history="1">
            <w:r w:rsidR="00467011" w:rsidRPr="0088592B">
              <w:rPr>
                <w:rStyle w:val="Hyperlink"/>
                <w:noProof/>
                <w:lang w:val="en-US"/>
              </w:rPr>
              <w:t>4.5.8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  <w:lang w:val="en-US"/>
              </w:rPr>
              <w:t>Amplification conditions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_Toc36489728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7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5F2A5E0F" w14:textId="164FA1E6" w:rsidR="00467011" w:rsidRDefault="00751C0E">
          <w:pPr>
            <w:pStyle w:val="TOC3"/>
            <w:tabs>
              <w:tab w:val="left" w:pos="132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6489729" w:history="1">
            <w:r w:rsidR="00467011" w:rsidRPr="0088592B">
              <w:rPr>
                <w:rStyle w:val="Hyperlink"/>
                <w:noProof/>
                <w:lang w:val="en-US"/>
              </w:rPr>
              <w:t>4.5.9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</w:rPr>
              <w:t>Data analysis and interpretation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_Toc36489729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8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77675610" w14:textId="22D68A5E" w:rsidR="00467011" w:rsidRDefault="00751C0E">
          <w:pPr>
            <w:pStyle w:val="TOC1"/>
            <w:tabs>
              <w:tab w:val="left" w:pos="48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6489730" w:history="1">
            <w:r w:rsidR="00467011" w:rsidRPr="0088592B">
              <w:rPr>
                <w:rStyle w:val="Hyperlink"/>
                <w:noProof/>
                <w:lang w:val="en-GB"/>
              </w:rPr>
              <w:t>5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  <w:lang w:val="en-GB"/>
              </w:rPr>
              <w:t>Safety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_Toc36489730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8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525DA43D" w14:textId="48010197" w:rsidR="00467011" w:rsidRDefault="00751C0E">
          <w:pPr>
            <w:pStyle w:val="TOC1"/>
            <w:tabs>
              <w:tab w:val="left" w:pos="48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6489731" w:history="1">
            <w:r w:rsidR="00467011" w:rsidRPr="0088592B">
              <w:rPr>
                <w:rStyle w:val="Hyperlink"/>
                <w:noProof/>
                <w:lang w:val="en-US"/>
              </w:rPr>
              <w:t>6</w:t>
            </w:r>
            <w:r w:rsidR="004670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67011" w:rsidRPr="0088592B">
              <w:rPr>
                <w:rStyle w:val="Hyperlink"/>
                <w:noProof/>
                <w:lang w:val="en-US"/>
              </w:rPr>
              <w:t>References</w:t>
            </w:r>
            <w:r w:rsidR="00467011">
              <w:rPr>
                <w:noProof/>
                <w:webHidden/>
              </w:rPr>
              <w:tab/>
            </w:r>
            <w:r w:rsidR="00467011">
              <w:rPr>
                <w:noProof/>
                <w:webHidden/>
              </w:rPr>
              <w:fldChar w:fldCharType="begin"/>
            </w:r>
            <w:r w:rsidR="00467011">
              <w:rPr>
                <w:noProof/>
                <w:webHidden/>
              </w:rPr>
              <w:instrText xml:space="preserve"> PAGEREF _Toc36489731 \h </w:instrText>
            </w:r>
            <w:r w:rsidR="00467011">
              <w:rPr>
                <w:noProof/>
                <w:webHidden/>
              </w:rPr>
            </w:r>
            <w:r w:rsidR="00467011">
              <w:rPr>
                <w:noProof/>
                <w:webHidden/>
              </w:rPr>
              <w:fldChar w:fldCharType="separate"/>
            </w:r>
            <w:r w:rsidR="00467011">
              <w:rPr>
                <w:noProof/>
                <w:webHidden/>
              </w:rPr>
              <w:t>8</w:t>
            </w:r>
            <w:r w:rsidR="00467011">
              <w:rPr>
                <w:noProof/>
                <w:webHidden/>
              </w:rPr>
              <w:fldChar w:fldCharType="end"/>
            </w:r>
          </w:hyperlink>
        </w:p>
        <w:p w14:paraId="531436AB" w14:textId="6D729EE2" w:rsidR="00DE3392" w:rsidRPr="00DE3392" w:rsidRDefault="00DE3392" w:rsidP="00E37B55">
          <w:pPr>
            <w:spacing w:line="276" w:lineRule="auto"/>
            <w:rPr>
              <w:rFonts w:ascii="Arial" w:hAnsi="Arial" w:cs="Arial"/>
              <w:lang w:val="en-GB"/>
            </w:rPr>
          </w:pPr>
          <w:r w:rsidRPr="00E37B55">
            <w:rPr>
              <w:rFonts w:ascii="Arial" w:hAnsi="Arial" w:cs="Arial"/>
              <w:lang w:val="en-GB"/>
            </w:rPr>
            <w:fldChar w:fldCharType="end"/>
          </w:r>
        </w:p>
      </w:sdtContent>
    </w:sdt>
    <w:p w14:paraId="49820CF2" w14:textId="77777777" w:rsidR="00DE3392" w:rsidRPr="00DE3392" w:rsidRDefault="00DE3392" w:rsidP="00DE3392">
      <w:pPr>
        <w:rPr>
          <w:rFonts w:ascii="Arial" w:eastAsiaTheme="majorEastAsia" w:hAnsi="Arial" w:cs="Arial"/>
          <w:b/>
          <w:bCs/>
          <w:sz w:val="28"/>
          <w:szCs w:val="28"/>
          <w:lang w:val="en-GB"/>
        </w:rPr>
      </w:pPr>
      <w:r w:rsidRPr="00DE3392">
        <w:rPr>
          <w:rFonts w:ascii="Arial" w:hAnsi="Arial" w:cs="Arial"/>
          <w:lang w:val="en-GB"/>
        </w:rPr>
        <w:br w:type="page"/>
      </w:r>
    </w:p>
    <w:p w14:paraId="1D377D0D" w14:textId="77777777" w:rsidR="00DE3392" w:rsidRPr="00DE3392" w:rsidRDefault="00DE3392" w:rsidP="00DE3392">
      <w:pPr>
        <w:pStyle w:val="Heading1"/>
        <w:keepLines/>
        <w:numPr>
          <w:ilvl w:val="0"/>
          <w:numId w:val="2"/>
        </w:numPr>
        <w:spacing w:before="480" w:after="0" w:line="276" w:lineRule="auto"/>
        <w:rPr>
          <w:lang w:val="en-GB"/>
        </w:rPr>
      </w:pPr>
      <w:bookmarkStart w:id="0" w:name="_Toc36489712"/>
      <w:r w:rsidRPr="00DE3392">
        <w:rPr>
          <w:lang w:val="en-GB"/>
        </w:rPr>
        <w:lastRenderedPageBreak/>
        <w:t>Purpose</w:t>
      </w:r>
      <w:bookmarkEnd w:id="0"/>
    </w:p>
    <w:p w14:paraId="36F38DF3" w14:textId="5CCD39DC" w:rsidR="001C3CE5" w:rsidRPr="00CE69ED" w:rsidRDefault="00F416E2" w:rsidP="00CE69ED">
      <w:pPr>
        <w:jc w:val="both"/>
        <w:rPr>
          <w:rFonts w:ascii="Arial" w:hAnsi="Arial" w:cs="Arial"/>
          <w:bCs/>
          <w:lang w:val="en-GB"/>
        </w:rPr>
      </w:pPr>
      <w:r w:rsidRPr="00F416E2">
        <w:rPr>
          <w:rFonts w:ascii="Arial" w:hAnsi="Arial" w:cs="Arial"/>
          <w:bCs/>
          <w:lang w:val="en-GB"/>
        </w:rPr>
        <w:t xml:space="preserve">The purpose of this Standard Operating Procedure (SOP) is </w:t>
      </w:r>
      <w:r w:rsidR="001C3CE5" w:rsidRPr="001C3CE5">
        <w:rPr>
          <w:rFonts w:ascii="Arial" w:hAnsi="Arial" w:cs="Arial"/>
          <w:bCs/>
          <w:lang w:val="en-GB"/>
        </w:rPr>
        <w:t xml:space="preserve">to </w:t>
      </w:r>
      <w:r w:rsidR="00D9121B" w:rsidRPr="00D9121B">
        <w:rPr>
          <w:rFonts w:ascii="Arial" w:hAnsi="Arial" w:cs="Arial"/>
          <w:bCs/>
          <w:lang w:val="en-GB"/>
        </w:rPr>
        <w:t xml:space="preserve">describe </w:t>
      </w:r>
      <w:r w:rsidR="00CE69ED" w:rsidRPr="00CE69ED">
        <w:rPr>
          <w:rFonts w:ascii="Arial" w:hAnsi="Arial" w:cs="Arial"/>
          <w:bCs/>
          <w:lang w:val="en-GB"/>
        </w:rPr>
        <w:t xml:space="preserve">the methodology to detect </w:t>
      </w:r>
      <w:r w:rsidR="00E52394" w:rsidRPr="00E52394">
        <w:rPr>
          <w:rFonts w:ascii="Arial" w:hAnsi="Arial" w:cs="Arial"/>
          <w:bCs/>
          <w:lang w:val="en-GB"/>
        </w:rPr>
        <w:t xml:space="preserve">SARS Coronavirus -2 (SARS-CoV-2) </w:t>
      </w:r>
      <w:r w:rsidR="00CE69ED" w:rsidRPr="00CE69ED">
        <w:rPr>
          <w:rFonts w:ascii="Arial" w:hAnsi="Arial" w:cs="Arial"/>
          <w:bCs/>
          <w:lang w:val="en-GB"/>
        </w:rPr>
        <w:t xml:space="preserve">by real-time PCR using </w:t>
      </w:r>
      <w:r w:rsidR="003C3D9B">
        <w:rPr>
          <w:rFonts w:ascii="Arial" w:hAnsi="Arial" w:cs="Arial"/>
          <w:bCs/>
          <w:lang w:val="en-GB"/>
        </w:rPr>
        <w:t xml:space="preserve">nucleic acid </w:t>
      </w:r>
      <w:r w:rsidR="00CE69ED" w:rsidRPr="00CE69ED">
        <w:rPr>
          <w:rFonts w:ascii="Arial" w:hAnsi="Arial" w:cs="Arial"/>
          <w:bCs/>
          <w:lang w:val="en-GB"/>
        </w:rPr>
        <w:t xml:space="preserve">extracted from </w:t>
      </w:r>
      <w:r w:rsidR="00CE69ED">
        <w:rPr>
          <w:rFonts w:ascii="Arial" w:hAnsi="Arial" w:cs="Arial"/>
          <w:bCs/>
          <w:lang w:val="en-GB"/>
        </w:rPr>
        <w:t>clinical study participants</w:t>
      </w:r>
      <w:r w:rsidR="00CE69ED" w:rsidRPr="00CE69ED">
        <w:rPr>
          <w:rFonts w:ascii="Arial" w:hAnsi="Arial" w:cs="Arial"/>
          <w:bCs/>
          <w:lang w:val="en-GB"/>
        </w:rPr>
        <w:t xml:space="preserve"> (see SOP010</w:t>
      </w:r>
      <w:r w:rsidR="00C9068A">
        <w:rPr>
          <w:rFonts w:ascii="Arial" w:hAnsi="Arial" w:cs="Arial"/>
          <w:bCs/>
          <w:lang w:val="en-GB"/>
        </w:rPr>
        <w:t>b</w:t>
      </w:r>
      <w:r w:rsidR="002036BD">
        <w:rPr>
          <w:rFonts w:ascii="Arial" w:hAnsi="Arial" w:cs="Arial"/>
          <w:bCs/>
          <w:lang w:val="en-GB"/>
        </w:rPr>
        <w:t>-ITM CTP</w:t>
      </w:r>
      <w:r w:rsidR="00CE69ED" w:rsidRPr="00CE69ED">
        <w:rPr>
          <w:rFonts w:ascii="Arial" w:hAnsi="Arial" w:cs="Arial"/>
          <w:bCs/>
          <w:lang w:val="en-GB"/>
        </w:rPr>
        <w:t xml:space="preserve"> for </w:t>
      </w:r>
      <w:r w:rsidR="00CF20B9">
        <w:rPr>
          <w:rFonts w:ascii="Arial" w:hAnsi="Arial" w:cs="Arial"/>
          <w:bCs/>
          <w:lang w:val="en-GB"/>
        </w:rPr>
        <w:t>R</w:t>
      </w:r>
      <w:r w:rsidR="00CE69ED">
        <w:rPr>
          <w:rFonts w:ascii="Arial" w:hAnsi="Arial" w:cs="Arial"/>
          <w:bCs/>
          <w:lang w:val="en-GB"/>
        </w:rPr>
        <w:t xml:space="preserve">NA </w:t>
      </w:r>
      <w:r w:rsidR="00CE69ED" w:rsidRPr="00CE69ED">
        <w:rPr>
          <w:rFonts w:ascii="Arial" w:hAnsi="Arial" w:cs="Arial"/>
          <w:bCs/>
          <w:lang w:val="en-GB"/>
        </w:rPr>
        <w:t>extraction).</w:t>
      </w:r>
    </w:p>
    <w:p w14:paraId="36922D5E" w14:textId="77777777" w:rsidR="00DE3392" w:rsidRPr="00DE3392" w:rsidRDefault="00DE3392" w:rsidP="00DE3392">
      <w:pPr>
        <w:pStyle w:val="Heading1"/>
        <w:keepLines/>
        <w:spacing w:before="480" w:after="0" w:line="276" w:lineRule="auto"/>
        <w:ind w:left="432" w:hanging="432"/>
        <w:rPr>
          <w:lang w:val="en-GB"/>
        </w:rPr>
      </w:pPr>
      <w:bookmarkStart w:id="1" w:name="_Toc36489713"/>
      <w:r w:rsidRPr="00DE3392">
        <w:rPr>
          <w:lang w:val="en-GB"/>
        </w:rPr>
        <w:t>Definitions</w:t>
      </w:r>
      <w:bookmarkEnd w:id="1"/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51"/>
        <w:gridCol w:w="6489"/>
      </w:tblGrid>
      <w:tr w:rsidR="007404AE" w:rsidRPr="002501A8" w14:paraId="0F981E4E" w14:textId="77777777" w:rsidTr="00CE76D9">
        <w:tc>
          <w:tcPr>
            <w:tcW w:w="1951" w:type="dxa"/>
          </w:tcPr>
          <w:p w14:paraId="50BC05EB" w14:textId="43A9C2E4" w:rsidR="007404AE" w:rsidRPr="00DE3392" w:rsidRDefault="007404AE" w:rsidP="007404A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UKT</w:t>
            </w:r>
          </w:p>
        </w:tc>
        <w:tc>
          <w:tcPr>
            <w:tcW w:w="6489" w:type="dxa"/>
          </w:tcPr>
          <w:p w14:paraId="583BF7A3" w14:textId="2598D75A" w:rsidR="007404AE" w:rsidRPr="00DE3392" w:rsidRDefault="007404AE" w:rsidP="007404A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Universitätsklinikum Tübingen</w:t>
            </w:r>
          </w:p>
        </w:tc>
      </w:tr>
      <w:tr w:rsidR="007404AE" w:rsidRPr="00A3449F" w14:paraId="304D9543" w14:textId="77777777" w:rsidTr="00CE76D9">
        <w:tc>
          <w:tcPr>
            <w:tcW w:w="1951" w:type="dxa"/>
          </w:tcPr>
          <w:p w14:paraId="20EF9E4C" w14:textId="18C0695B" w:rsidR="007404AE" w:rsidRPr="00DE3392" w:rsidRDefault="007404AE" w:rsidP="007404AE">
            <w:pPr>
              <w:rPr>
                <w:rFonts w:ascii="Arial" w:hAnsi="Arial" w:cs="Arial"/>
                <w:lang w:val="en-GB"/>
              </w:rPr>
            </w:pPr>
            <w:r w:rsidRPr="00DE3392">
              <w:rPr>
                <w:rFonts w:ascii="Arial" w:hAnsi="Arial" w:cs="Arial"/>
                <w:lang w:val="en-GB"/>
              </w:rPr>
              <w:t>CTP</w:t>
            </w:r>
          </w:p>
        </w:tc>
        <w:tc>
          <w:tcPr>
            <w:tcW w:w="6489" w:type="dxa"/>
          </w:tcPr>
          <w:p w14:paraId="239899B6" w14:textId="28968DBE" w:rsidR="007404AE" w:rsidRPr="00DE3392" w:rsidRDefault="007404AE" w:rsidP="007404AE">
            <w:pPr>
              <w:rPr>
                <w:rFonts w:ascii="Arial" w:hAnsi="Arial" w:cs="Arial"/>
                <w:lang w:val="en-GB"/>
              </w:rPr>
            </w:pPr>
            <w:r w:rsidRPr="00DE3392">
              <w:rPr>
                <w:rFonts w:ascii="Arial" w:hAnsi="Arial" w:cs="Arial"/>
                <w:lang w:val="en-GB"/>
              </w:rPr>
              <w:t xml:space="preserve">Clinical Trial Platform; the unit of ITM </w:t>
            </w:r>
            <w:r>
              <w:rPr>
                <w:rFonts w:ascii="Arial" w:hAnsi="Arial" w:cs="Arial"/>
                <w:lang w:val="en-GB"/>
              </w:rPr>
              <w:t>that</w:t>
            </w:r>
            <w:r w:rsidRPr="00DE3392">
              <w:rPr>
                <w:rFonts w:ascii="Arial" w:hAnsi="Arial" w:cs="Arial"/>
                <w:lang w:val="en-GB"/>
              </w:rPr>
              <w:t xml:space="preserve"> performs and manages ITM’s clinical trials activity</w:t>
            </w:r>
          </w:p>
        </w:tc>
      </w:tr>
      <w:tr w:rsidR="007404AE" w:rsidRPr="009915FB" w14:paraId="58103142" w14:textId="77777777" w:rsidTr="00CE76D9">
        <w:tc>
          <w:tcPr>
            <w:tcW w:w="1951" w:type="dxa"/>
          </w:tcPr>
          <w:p w14:paraId="08CB3F46" w14:textId="23D8E6C3" w:rsidR="007404AE" w:rsidRDefault="007404AE" w:rsidP="007404AE">
            <w:pPr>
              <w:rPr>
                <w:rFonts w:ascii="Arial" w:hAnsi="Arial" w:cs="Arial"/>
                <w:lang w:val="en-GB"/>
              </w:rPr>
            </w:pPr>
            <w:r w:rsidRPr="002036BD">
              <w:rPr>
                <w:rFonts w:ascii="Arial" w:hAnsi="Arial" w:cs="Arial"/>
                <w:lang w:val="fr-FR"/>
              </w:rPr>
              <w:t>SOP</w:t>
            </w:r>
          </w:p>
        </w:tc>
        <w:tc>
          <w:tcPr>
            <w:tcW w:w="6489" w:type="dxa"/>
          </w:tcPr>
          <w:p w14:paraId="78470823" w14:textId="1B03F5B2" w:rsidR="007404AE" w:rsidRDefault="007404AE" w:rsidP="007404AE">
            <w:pPr>
              <w:rPr>
                <w:rFonts w:ascii="Arial" w:hAnsi="Arial" w:cs="Arial"/>
                <w:lang w:val="en-GB"/>
              </w:rPr>
            </w:pPr>
            <w:r w:rsidRPr="002036BD">
              <w:rPr>
                <w:rFonts w:ascii="Arial" w:hAnsi="Arial" w:cs="Arial"/>
                <w:lang w:val="fr-FR"/>
              </w:rPr>
              <w:t>Standard Operating</w:t>
            </w:r>
            <w:r w:rsidRPr="001429CB">
              <w:rPr>
                <w:rFonts w:ascii="Arial" w:hAnsi="Arial" w:cs="Arial"/>
                <w:lang w:val="en-GB"/>
              </w:rPr>
              <w:t xml:space="preserve"> Procedure</w:t>
            </w:r>
          </w:p>
        </w:tc>
      </w:tr>
      <w:tr w:rsidR="007404AE" w:rsidRPr="009915FB" w14:paraId="215BB58E" w14:textId="77777777" w:rsidTr="00CE76D9">
        <w:tc>
          <w:tcPr>
            <w:tcW w:w="1951" w:type="dxa"/>
          </w:tcPr>
          <w:p w14:paraId="491C9A80" w14:textId="34707895" w:rsidR="007404AE" w:rsidRPr="009915FB" w:rsidRDefault="007404AE" w:rsidP="007404A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RNA</w:t>
            </w:r>
          </w:p>
        </w:tc>
        <w:tc>
          <w:tcPr>
            <w:tcW w:w="6489" w:type="dxa"/>
          </w:tcPr>
          <w:p w14:paraId="695FF58B" w14:textId="7E88181F" w:rsidR="007404AE" w:rsidRPr="009915FB" w:rsidRDefault="007404AE" w:rsidP="007404A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Ribonucleic Acid</w:t>
            </w:r>
          </w:p>
        </w:tc>
      </w:tr>
      <w:tr w:rsidR="007404AE" w:rsidRPr="00DE3392" w14:paraId="5999FAFB" w14:textId="77777777" w:rsidTr="00CE76D9">
        <w:tc>
          <w:tcPr>
            <w:tcW w:w="1951" w:type="dxa"/>
          </w:tcPr>
          <w:p w14:paraId="650F43AD" w14:textId="77777777" w:rsidR="007404AE" w:rsidRPr="00DE3392" w:rsidRDefault="007404AE" w:rsidP="007404AE">
            <w:pPr>
              <w:rPr>
                <w:rFonts w:ascii="Arial" w:hAnsi="Arial" w:cs="Arial"/>
                <w:lang w:val="en-GB"/>
              </w:rPr>
            </w:pPr>
            <w:r w:rsidRPr="00DE3392">
              <w:rPr>
                <w:rFonts w:ascii="Arial" w:hAnsi="Arial" w:cs="Arial"/>
                <w:lang w:val="en-GB"/>
              </w:rPr>
              <w:t>ITM</w:t>
            </w:r>
          </w:p>
        </w:tc>
        <w:tc>
          <w:tcPr>
            <w:tcW w:w="6489" w:type="dxa"/>
          </w:tcPr>
          <w:p w14:paraId="15A4428E" w14:textId="77777777" w:rsidR="007404AE" w:rsidRPr="00DE3392" w:rsidRDefault="007404AE" w:rsidP="007404AE">
            <w:pPr>
              <w:rPr>
                <w:rFonts w:ascii="Arial" w:hAnsi="Arial" w:cs="Arial"/>
                <w:lang w:val="en-GB"/>
              </w:rPr>
            </w:pPr>
            <w:r w:rsidRPr="00DE3392">
              <w:rPr>
                <w:rFonts w:ascii="Arial" w:hAnsi="Arial" w:cs="Arial"/>
                <w:lang w:val="en-GB"/>
              </w:rPr>
              <w:t>Institute of Tropical Medicine</w:t>
            </w:r>
          </w:p>
        </w:tc>
      </w:tr>
      <w:tr w:rsidR="007404AE" w:rsidRPr="009915FB" w14:paraId="5B4F4ABC" w14:textId="77777777" w:rsidTr="00CE76D9">
        <w:tc>
          <w:tcPr>
            <w:tcW w:w="1951" w:type="dxa"/>
          </w:tcPr>
          <w:p w14:paraId="2F8CFEA0" w14:textId="68A97AB2" w:rsidR="007404AE" w:rsidRPr="00DE3392" w:rsidRDefault="007404AE" w:rsidP="007404AE">
            <w:pPr>
              <w:rPr>
                <w:rFonts w:ascii="Arial" w:hAnsi="Arial" w:cs="Arial"/>
                <w:lang w:val="en-GB"/>
              </w:rPr>
            </w:pPr>
            <w:r w:rsidRPr="009915FB">
              <w:rPr>
                <w:rFonts w:ascii="Arial" w:hAnsi="Arial" w:cs="Arial"/>
                <w:lang w:val="en-GB"/>
              </w:rPr>
              <w:t>LC 480</w:t>
            </w:r>
          </w:p>
        </w:tc>
        <w:tc>
          <w:tcPr>
            <w:tcW w:w="6489" w:type="dxa"/>
          </w:tcPr>
          <w:p w14:paraId="4F11073B" w14:textId="48D4F2A7" w:rsidR="007404AE" w:rsidRPr="00DE3392" w:rsidRDefault="007404AE" w:rsidP="007404AE">
            <w:pPr>
              <w:rPr>
                <w:rFonts w:ascii="Arial" w:hAnsi="Arial" w:cs="Arial"/>
                <w:lang w:val="en-GB"/>
              </w:rPr>
            </w:pPr>
            <w:r w:rsidRPr="009915FB">
              <w:rPr>
                <w:rFonts w:ascii="Arial" w:hAnsi="Arial" w:cs="Arial"/>
                <w:lang w:val="en-GB"/>
              </w:rPr>
              <w:t>LightCycler® 480 Instrument II</w:t>
            </w:r>
          </w:p>
        </w:tc>
      </w:tr>
      <w:tr w:rsidR="007404AE" w:rsidRPr="002036BD" w14:paraId="37590761" w14:textId="77777777" w:rsidTr="00CE76D9">
        <w:tc>
          <w:tcPr>
            <w:tcW w:w="1951" w:type="dxa"/>
          </w:tcPr>
          <w:p w14:paraId="3E35AD0F" w14:textId="614E62A5" w:rsidR="007404AE" w:rsidRPr="002036BD" w:rsidRDefault="007404AE" w:rsidP="007404AE">
            <w:pPr>
              <w:rPr>
                <w:rFonts w:ascii="Arial" w:hAnsi="Arial" w:cs="Arial"/>
                <w:lang w:val="fr-FR"/>
              </w:rPr>
            </w:pPr>
            <w:r w:rsidRPr="002036BD">
              <w:rPr>
                <w:rFonts w:ascii="Arial" w:hAnsi="Arial" w:cs="Arial"/>
                <w:lang w:val="fr-FR"/>
              </w:rPr>
              <w:t>RT-qPCR</w:t>
            </w:r>
          </w:p>
        </w:tc>
        <w:tc>
          <w:tcPr>
            <w:tcW w:w="6489" w:type="dxa"/>
          </w:tcPr>
          <w:p w14:paraId="2C3CE63A" w14:textId="3EE9E4C0" w:rsidR="007404AE" w:rsidRPr="002036BD" w:rsidRDefault="007404AE" w:rsidP="007404AE">
            <w:pPr>
              <w:rPr>
                <w:rFonts w:ascii="Arial" w:hAnsi="Arial" w:cs="Arial"/>
                <w:lang w:val="fr-FR"/>
              </w:rPr>
            </w:pPr>
            <w:r w:rsidRPr="002036BD">
              <w:rPr>
                <w:rFonts w:ascii="Arial" w:hAnsi="Arial" w:cs="Arial"/>
                <w:lang w:val="fr-FR"/>
              </w:rPr>
              <w:t>Reverse Transcript</w:t>
            </w:r>
            <w:r>
              <w:rPr>
                <w:rFonts w:ascii="Arial" w:hAnsi="Arial" w:cs="Arial"/>
                <w:lang w:val="fr-FR"/>
              </w:rPr>
              <w:t>ion</w:t>
            </w:r>
            <w:r w:rsidRPr="002036BD">
              <w:rPr>
                <w:rFonts w:ascii="Arial" w:hAnsi="Arial" w:cs="Arial"/>
                <w:lang w:val="fr-FR"/>
              </w:rPr>
              <w:t xml:space="preserve"> Quantitative PCR</w:t>
            </w:r>
          </w:p>
        </w:tc>
      </w:tr>
      <w:tr w:rsidR="007404AE" w:rsidRPr="00A3449F" w14:paraId="1651B2A9" w14:textId="77777777" w:rsidTr="00EC60DA">
        <w:tc>
          <w:tcPr>
            <w:tcW w:w="1951" w:type="dxa"/>
          </w:tcPr>
          <w:p w14:paraId="7AD83696" w14:textId="39375899" w:rsidR="007404AE" w:rsidRPr="002036BD" w:rsidRDefault="007404AE" w:rsidP="007404A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Cp</w:t>
            </w:r>
          </w:p>
        </w:tc>
        <w:tc>
          <w:tcPr>
            <w:tcW w:w="6489" w:type="dxa"/>
          </w:tcPr>
          <w:p w14:paraId="53B30849" w14:textId="1587C7DA" w:rsidR="007404AE" w:rsidRPr="001429CB" w:rsidRDefault="007404AE" w:rsidP="007404A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Crossing point (also known as cycle threshold)</w:t>
            </w:r>
          </w:p>
        </w:tc>
      </w:tr>
      <w:tr w:rsidR="007404AE" w:rsidRPr="00A3449F" w14:paraId="72AEBD78" w14:textId="77777777" w:rsidTr="00EC60DA">
        <w:tc>
          <w:tcPr>
            <w:tcW w:w="1951" w:type="dxa"/>
          </w:tcPr>
          <w:p w14:paraId="1A5B8AF0" w14:textId="525F648B" w:rsidR="007404AE" w:rsidRPr="009915FB" w:rsidRDefault="007404AE" w:rsidP="007404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89" w:type="dxa"/>
          </w:tcPr>
          <w:p w14:paraId="44EDD26F" w14:textId="481E6D99" w:rsidR="007404AE" w:rsidRPr="009915FB" w:rsidRDefault="007404AE" w:rsidP="007404A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219D8FA" w14:textId="77777777" w:rsidR="00DE3392" w:rsidRPr="00DE3392" w:rsidRDefault="00DE3392" w:rsidP="00DE3392">
      <w:pPr>
        <w:pStyle w:val="Heading1"/>
        <w:keepLines/>
        <w:spacing w:before="480" w:after="0" w:line="276" w:lineRule="auto"/>
        <w:ind w:left="432" w:hanging="432"/>
        <w:rPr>
          <w:lang w:val="en-GB"/>
        </w:rPr>
      </w:pPr>
      <w:bookmarkStart w:id="2" w:name="_Toc36489714"/>
      <w:r w:rsidRPr="00DE3392">
        <w:rPr>
          <w:lang w:val="en-GB"/>
        </w:rPr>
        <w:t>Responsibilities</w:t>
      </w:r>
      <w:bookmarkEnd w:id="2"/>
    </w:p>
    <w:p w14:paraId="165EC272" w14:textId="1D5604EE" w:rsidR="009915FB" w:rsidRPr="009915FB" w:rsidRDefault="007B6E82" w:rsidP="009915F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QIAgility is designed for automated liquid handling actions that enables high-precision PCR assay set up. The instrument is intended for use by users trained in molecular biological techniques and the operation of the instrument only. </w:t>
      </w:r>
      <w:r w:rsidR="009915FB" w:rsidRPr="009915FB">
        <w:rPr>
          <w:rFonts w:ascii="Arial" w:hAnsi="Arial" w:cs="Arial"/>
          <w:lang w:val="en-US"/>
        </w:rPr>
        <w:t xml:space="preserve">All personnel involved in real-time PCR assay for detection and quantification of </w:t>
      </w:r>
      <w:r w:rsidR="007404AE">
        <w:rPr>
          <w:rFonts w:ascii="Arial" w:hAnsi="Arial" w:cs="Arial"/>
          <w:lang w:val="en-US"/>
        </w:rPr>
        <w:t>coronavirus</w:t>
      </w:r>
      <w:r w:rsidR="009915FB" w:rsidRPr="009915FB">
        <w:rPr>
          <w:rFonts w:ascii="Arial" w:hAnsi="Arial" w:cs="Arial"/>
          <w:lang w:val="en-US"/>
        </w:rPr>
        <w:t xml:space="preserve"> are responsible to follow all aspects detailed in this SOP. </w:t>
      </w:r>
      <w:r w:rsidR="00027F56">
        <w:rPr>
          <w:rFonts w:ascii="Arial" w:hAnsi="Arial" w:cs="Arial"/>
          <w:lang w:val="en-US"/>
        </w:rPr>
        <w:t xml:space="preserve"> </w:t>
      </w:r>
      <w:r w:rsidR="009915FB" w:rsidRPr="009915FB">
        <w:rPr>
          <w:rFonts w:ascii="Arial" w:hAnsi="Arial" w:cs="Arial"/>
          <w:lang w:val="en-US"/>
        </w:rPr>
        <w:t>Laboratory head, group leader molecular biology</w:t>
      </w:r>
      <w:r w:rsidR="009915FB">
        <w:rPr>
          <w:rFonts w:ascii="Arial" w:hAnsi="Arial" w:cs="Arial"/>
          <w:lang w:val="en-US"/>
        </w:rPr>
        <w:t xml:space="preserve"> experts</w:t>
      </w:r>
      <w:r w:rsidR="009915FB" w:rsidRPr="009915FB">
        <w:rPr>
          <w:rFonts w:ascii="Arial" w:hAnsi="Arial" w:cs="Arial"/>
          <w:lang w:val="en-US"/>
        </w:rPr>
        <w:t>, statistician, and lab managers are responsible for providing training on real-time PCR assay and analysis of results.</w:t>
      </w:r>
    </w:p>
    <w:p w14:paraId="24C00D05" w14:textId="77777777" w:rsidR="00DE3392" w:rsidRDefault="00DE3392" w:rsidP="00DE3392">
      <w:pPr>
        <w:pStyle w:val="Heading1"/>
        <w:keepLines/>
        <w:spacing w:before="480" w:after="0" w:line="276" w:lineRule="auto"/>
        <w:ind w:left="432" w:hanging="432"/>
        <w:rPr>
          <w:lang w:val="en-GB"/>
        </w:rPr>
      </w:pPr>
      <w:bookmarkStart w:id="3" w:name="_Toc36489715"/>
      <w:r w:rsidRPr="00DE3392">
        <w:rPr>
          <w:lang w:val="en-GB"/>
        </w:rPr>
        <w:t>Procedure</w:t>
      </w:r>
      <w:bookmarkEnd w:id="3"/>
    </w:p>
    <w:p w14:paraId="7C6E4D4C" w14:textId="77777777" w:rsidR="000F59B0" w:rsidRDefault="009915FB" w:rsidP="009915FB">
      <w:pPr>
        <w:jc w:val="both"/>
        <w:rPr>
          <w:rFonts w:ascii="Arial" w:hAnsi="Arial" w:cs="Arial"/>
          <w:lang w:val="en-GB"/>
        </w:rPr>
      </w:pPr>
      <w:r w:rsidRPr="009915FB">
        <w:rPr>
          <w:rFonts w:ascii="Arial" w:hAnsi="Arial" w:cs="Arial"/>
          <w:lang w:val="en-US"/>
        </w:rPr>
        <w:t>Ensure that there is no risk of contamination.</w:t>
      </w:r>
      <w:r w:rsidR="00EC4867">
        <w:rPr>
          <w:rFonts w:ascii="Arial" w:hAnsi="Arial" w:cs="Arial"/>
          <w:lang w:val="en-US"/>
        </w:rPr>
        <w:t xml:space="preserve"> To remove DNA/RNA from the worktable and to eliminate cross-contamination, the QIAgility must be routinely decontaminated by wiping the worktable with a soft cloth soaked in a cleaning agent </w:t>
      </w:r>
      <w:r w:rsidR="009668CA">
        <w:rPr>
          <w:rFonts w:ascii="Arial" w:hAnsi="Arial" w:cs="Arial"/>
          <w:lang w:val="en-US"/>
        </w:rPr>
        <w:t>[</w:t>
      </w:r>
      <w:r w:rsidR="00EC4867" w:rsidRPr="00EC4867">
        <w:rPr>
          <w:rFonts w:ascii="Arial" w:hAnsi="Arial" w:cs="Arial"/>
          <w:color w:val="000000"/>
          <w:lang w:val="en-US"/>
        </w:rPr>
        <w:t>Gigasept instru AF</w:t>
      </w:r>
      <w:r w:rsidR="00EC4867">
        <w:rPr>
          <w:rFonts w:ascii="Arial" w:hAnsi="Arial" w:cs="Arial"/>
          <w:color w:val="000000"/>
          <w:lang w:val="en-US"/>
        </w:rPr>
        <w:t xml:space="preserve"> (Schülke &amp; Mayr GmBH)</w:t>
      </w:r>
      <w:r w:rsidR="009668CA">
        <w:rPr>
          <w:rFonts w:ascii="Arial" w:hAnsi="Arial" w:cs="Arial"/>
          <w:color w:val="000000"/>
          <w:lang w:val="en-US"/>
        </w:rPr>
        <w:t>]</w:t>
      </w:r>
      <w:r w:rsidR="004B1577">
        <w:rPr>
          <w:rFonts w:ascii="Arial" w:hAnsi="Arial" w:cs="Arial"/>
          <w:color w:val="000000"/>
          <w:lang w:val="en-US"/>
        </w:rPr>
        <w:t xml:space="preserve"> and </w:t>
      </w:r>
      <w:r w:rsidR="0098443E">
        <w:rPr>
          <w:rFonts w:ascii="Arial" w:hAnsi="Arial" w:cs="Arial"/>
          <w:color w:val="000000"/>
          <w:lang w:val="en-US"/>
        </w:rPr>
        <w:t xml:space="preserve">by </w:t>
      </w:r>
      <w:r w:rsidR="004B1577">
        <w:rPr>
          <w:rFonts w:ascii="Arial" w:hAnsi="Arial" w:cs="Arial"/>
          <w:color w:val="000000"/>
          <w:lang w:val="en-US"/>
        </w:rPr>
        <w:t>UV irradiation.</w:t>
      </w:r>
      <w:r w:rsidR="004B1577">
        <w:rPr>
          <w:rFonts w:ascii="Arial" w:hAnsi="Arial" w:cs="Arial"/>
          <w:lang w:val="en-US"/>
        </w:rPr>
        <w:t xml:space="preserve"> </w:t>
      </w:r>
      <w:r w:rsidRPr="009915FB">
        <w:rPr>
          <w:rFonts w:ascii="Arial" w:hAnsi="Arial" w:cs="Arial"/>
          <w:lang w:val="en-US"/>
        </w:rPr>
        <w:t>Clean the working surface, pipette sets, tube racks etc. with RNase decontamination solutions (RNase-Exitus Plus™ or equivalent). Always wear clean protective clothing and change gloves frequently whenever contamination with RNases is possible (e.g. after touching non-cleaned surfaces, door handles, keyboards,</w:t>
      </w:r>
      <w:r w:rsidR="001B77E0">
        <w:rPr>
          <w:rFonts w:ascii="Arial" w:hAnsi="Arial" w:cs="Arial"/>
          <w:lang w:val="en-US"/>
        </w:rPr>
        <w:t xml:space="preserve"> etc.</w:t>
      </w:r>
      <w:r w:rsidRPr="009915FB">
        <w:rPr>
          <w:rFonts w:ascii="Arial" w:hAnsi="Arial" w:cs="Arial"/>
          <w:lang w:val="en-US"/>
        </w:rPr>
        <w:t>). Use RNase &amp; DNase-free certified disposable tubes and filter tips.</w:t>
      </w:r>
      <w:r w:rsidR="007404AE">
        <w:rPr>
          <w:rFonts w:ascii="Arial" w:hAnsi="Arial" w:cs="Arial"/>
          <w:lang w:val="en-US"/>
        </w:rPr>
        <w:t xml:space="preserve"> </w:t>
      </w:r>
      <w:r w:rsidR="0000331D">
        <w:rPr>
          <w:rFonts w:ascii="Arial" w:hAnsi="Arial" w:cs="Arial"/>
          <w:lang w:val="en-US"/>
        </w:rPr>
        <w:t>This SOP describes how to set up and perform the real-time PCR assay in a 384-well plate format using automated liquid handling system (QIAgility, Qiagen) and the real-time PCR instrument (</w:t>
      </w:r>
      <w:r w:rsidR="0000331D" w:rsidRPr="009915FB">
        <w:rPr>
          <w:rFonts w:ascii="Arial" w:hAnsi="Arial" w:cs="Arial"/>
          <w:lang w:val="en-GB"/>
        </w:rPr>
        <w:t>LightCycler® 480 Instrument II</w:t>
      </w:r>
      <w:r w:rsidR="0000331D">
        <w:rPr>
          <w:rFonts w:ascii="Arial" w:hAnsi="Arial" w:cs="Arial"/>
          <w:lang w:val="en-GB"/>
        </w:rPr>
        <w:t>, Roche).</w:t>
      </w:r>
      <w:r w:rsidR="006E3D23">
        <w:rPr>
          <w:rFonts w:ascii="Arial" w:hAnsi="Arial" w:cs="Arial"/>
          <w:lang w:val="en-GB"/>
        </w:rPr>
        <w:t xml:space="preserve"> </w:t>
      </w:r>
    </w:p>
    <w:p w14:paraId="2347CAAD" w14:textId="77777777" w:rsidR="000F59B0" w:rsidRDefault="000F59B0" w:rsidP="009915FB">
      <w:pPr>
        <w:jc w:val="both"/>
        <w:rPr>
          <w:rFonts w:ascii="Arial" w:hAnsi="Arial" w:cs="Arial"/>
          <w:lang w:val="en-GB"/>
        </w:rPr>
      </w:pPr>
    </w:p>
    <w:p w14:paraId="11A69C06" w14:textId="7A63DD14" w:rsidR="0000331D" w:rsidRPr="000F59B0" w:rsidRDefault="000F59B0" w:rsidP="009915FB">
      <w:pPr>
        <w:jc w:val="both"/>
        <w:rPr>
          <w:rFonts w:ascii="Arial" w:hAnsi="Arial" w:cs="Arial"/>
          <w:b/>
          <w:bCs/>
          <w:u w:val="single"/>
          <w:lang w:val="en-US"/>
        </w:rPr>
      </w:pPr>
      <w:r w:rsidRPr="000F59B0">
        <w:rPr>
          <w:rFonts w:ascii="Arial" w:hAnsi="Arial" w:cs="Arial"/>
          <w:b/>
          <w:bCs/>
          <w:u w:val="single"/>
          <w:lang w:val="en-GB"/>
        </w:rPr>
        <w:t xml:space="preserve">Note: </w:t>
      </w:r>
      <w:r w:rsidR="006E3D23" w:rsidRPr="000F59B0">
        <w:rPr>
          <w:rFonts w:ascii="Arial" w:hAnsi="Arial" w:cs="Arial"/>
          <w:b/>
          <w:bCs/>
          <w:u w:val="single"/>
          <w:lang w:val="en-GB"/>
        </w:rPr>
        <w:t xml:space="preserve">For manual preparation of </w:t>
      </w:r>
      <w:r w:rsidRPr="000F59B0">
        <w:rPr>
          <w:rFonts w:ascii="Arial" w:hAnsi="Arial" w:cs="Arial"/>
          <w:b/>
          <w:bCs/>
          <w:u w:val="single"/>
          <w:lang w:val="en-GB"/>
        </w:rPr>
        <w:t>master mix</w:t>
      </w:r>
      <w:r>
        <w:rPr>
          <w:rFonts w:ascii="Arial" w:hAnsi="Arial" w:cs="Arial"/>
          <w:b/>
          <w:bCs/>
          <w:u w:val="single"/>
          <w:lang w:val="en-GB"/>
        </w:rPr>
        <w:t xml:space="preserve"> and pipetting</w:t>
      </w:r>
      <w:bookmarkStart w:id="4" w:name="_GoBack"/>
      <w:bookmarkEnd w:id="4"/>
      <w:r w:rsidR="006E3D23" w:rsidRPr="000F59B0">
        <w:rPr>
          <w:rFonts w:ascii="Arial" w:hAnsi="Arial" w:cs="Arial"/>
          <w:b/>
          <w:bCs/>
          <w:u w:val="single"/>
          <w:lang w:val="en-GB"/>
        </w:rPr>
        <w:t xml:space="preserve"> for real-time PCR, please follow procedures from section 4.5.7</w:t>
      </w:r>
    </w:p>
    <w:p w14:paraId="11293C10" w14:textId="45A69027" w:rsidR="009915FB" w:rsidRPr="009915FB" w:rsidRDefault="009915FB" w:rsidP="009915FB">
      <w:pPr>
        <w:jc w:val="both"/>
        <w:rPr>
          <w:rFonts w:ascii="Arial" w:hAnsi="Arial" w:cs="Arial"/>
          <w:lang w:val="en-US"/>
        </w:rPr>
      </w:pPr>
    </w:p>
    <w:p w14:paraId="39A76406" w14:textId="39B6DD9E" w:rsidR="007709A5" w:rsidRPr="00764AA1" w:rsidRDefault="00DF3E95" w:rsidP="00764AA1">
      <w:pPr>
        <w:pStyle w:val="Heading2"/>
        <w:rPr>
          <w:lang w:val="en-US"/>
        </w:rPr>
      </w:pPr>
      <w:bookmarkStart w:id="5" w:name="_Toc253756635"/>
      <w:bookmarkStart w:id="6" w:name="_Toc377652829"/>
      <w:bookmarkStart w:id="7" w:name="_Toc402800075"/>
      <w:bookmarkStart w:id="8" w:name="_Toc282433202"/>
      <w:bookmarkStart w:id="9" w:name="_Toc36489716"/>
      <w:bookmarkStart w:id="10" w:name="_Toc317851026"/>
      <w:r w:rsidRPr="00E84286">
        <w:lastRenderedPageBreak/>
        <w:t>Preliminaries</w:t>
      </w:r>
      <w:bookmarkEnd w:id="5"/>
      <w:bookmarkEnd w:id="6"/>
      <w:bookmarkEnd w:id="7"/>
      <w:bookmarkEnd w:id="8"/>
      <w:bookmarkEnd w:id="9"/>
    </w:p>
    <w:p w14:paraId="5423F67F" w14:textId="7F4CE1C2" w:rsidR="007A6FFE" w:rsidRPr="007D1A18" w:rsidRDefault="006F5736" w:rsidP="00AD165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</w:t>
      </w:r>
      <w:r w:rsidRPr="006F5736">
        <w:rPr>
          <w:rFonts w:ascii="Arial" w:hAnsi="Arial" w:cs="Arial"/>
          <w:sz w:val="24"/>
          <w:szCs w:val="24"/>
          <w:lang w:val="en-GB"/>
        </w:rPr>
        <w:t>LightCycler® 480 Instrument II</w:t>
      </w:r>
      <w:r>
        <w:rPr>
          <w:rFonts w:ascii="Arial" w:hAnsi="Arial" w:cs="Arial"/>
          <w:sz w:val="24"/>
          <w:szCs w:val="24"/>
          <w:lang w:val="en-GB"/>
        </w:rPr>
        <w:t xml:space="preserve"> has been turned on </w:t>
      </w:r>
      <w:r w:rsidR="007D1A18">
        <w:rPr>
          <w:rFonts w:ascii="Arial" w:hAnsi="Arial" w:cs="Arial"/>
          <w:sz w:val="24"/>
          <w:szCs w:val="24"/>
          <w:lang w:val="en-GB"/>
        </w:rPr>
        <w:t>before preparing the PCR master mix.</w:t>
      </w:r>
    </w:p>
    <w:p w14:paraId="437DC51D" w14:textId="3A6BF8E2" w:rsidR="007D1A18" w:rsidRPr="00983214" w:rsidRDefault="007D1A18" w:rsidP="00AD165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Remove the </w:t>
      </w:r>
      <w:r w:rsidR="004607E5">
        <w:rPr>
          <w:rFonts w:ascii="Arial" w:hAnsi="Arial" w:cs="Arial"/>
          <w:sz w:val="24"/>
          <w:szCs w:val="24"/>
          <w:lang w:val="en-GB"/>
        </w:rPr>
        <w:t xml:space="preserve">purified RNA tubes </w:t>
      </w:r>
      <w:r w:rsidR="005B4CA0">
        <w:rPr>
          <w:rFonts w:ascii="Arial" w:hAnsi="Arial" w:cs="Arial"/>
          <w:sz w:val="24"/>
          <w:szCs w:val="24"/>
          <w:lang w:val="en-GB"/>
        </w:rPr>
        <w:t>from</w:t>
      </w:r>
      <w:r>
        <w:rPr>
          <w:rFonts w:ascii="Arial" w:hAnsi="Arial" w:cs="Arial"/>
          <w:sz w:val="24"/>
          <w:szCs w:val="24"/>
          <w:lang w:val="en-GB"/>
        </w:rPr>
        <w:t xml:space="preserve"> -</w:t>
      </w:r>
      <w:r w:rsidR="004607E5">
        <w:rPr>
          <w:rFonts w:ascii="Arial" w:hAnsi="Arial" w:cs="Arial"/>
          <w:sz w:val="24"/>
          <w:szCs w:val="24"/>
          <w:lang w:val="en-GB"/>
        </w:rPr>
        <w:t>80</w:t>
      </w:r>
      <w:r w:rsidR="00FF0743">
        <w:rPr>
          <w:rFonts w:ascii="Arial" w:hAnsi="Arial" w:cs="Arial"/>
          <w:sz w:val="24"/>
          <w:szCs w:val="24"/>
          <w:lang w:val="en-GB"/>
        </w:rPr>
        <w:t>°</w:t>
      </w:r>
      <w:r w:rsidR="004607E5">
        <w:rPr>
          <w:rFonts w:ascii="Arial" w:hAnsi="Arial" w:cs="Arial"/>
          <w:sz w:val="24"/>
          <w:szCs w:val="24"/>
          <w:lang w:val="en-GB"/>
        </w:rPr>
        <w:t xml:space="preserve">C, allow the sample </w:t>
      </w:r>
      <w:r w:rsidR="00983214">
        <w:rPr>
          <w:rFonts w:ascii="Arial" w:hAnsi="Arial" w:cs="Arial"/>
          <w:sz w:val="24"/>
          <w:szCs w:val="24"/>
          <w:lang w:val="en-GB"/>
        </w:rPr>
        <w:t>to thaw at room temperature and spin briefly using a centrifuge.</w:t>
      </w:r>
    </w:p>
    <w:p w14:paraId="284B8AF0" w14:textId="774CF41B" w:rsidR="00983214" w:rsidRDefault="00983214" w:rsidP="00AD165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all PCR kit components have thawed completely before use. Briefly vortex and centrifuge to ensure uniform mixing and collection of the tube contents.</w:t>
      </w:r>
    </w:p>
    <w:p w14:paraId="627E92AE" w14:textId="3E33D3F6" w:rsidR="00983214" w:rsidRDefault="00B160C5" w:rsidP="00AD165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the appropriate plate adapters (384 well/96 well) in the correct positions and put the appropriate plastic</w:t>
      </w:r>
      <w:r w:rsidR="009844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wares in the defined positions.</w:t>
      </w:r>
    </w:p>
    <w:p w14:paraId="0B76D0F5" w14:textId="399836E3" w:rsidR="00B160C5" w:rsidRPr="00EA11F3" w:rsidRDefault="00B160C5" w:rsidP="00AD165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Calibrate both plate/tube position and height. Use 200 µL tips for positions and 50</w:t>
      </w:r>
      <w:r w:rsidRPr="00B16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µL tips for heights</w:t>
      </w:r>
      <w:r w:rsidR="005B4CA0">
        <w:rPr>
          <w:rFonts w:ascii="Arial" w:hAnsi="Arial" w:cs="Arial"/>
          <w:sz w:val="24"/>
          <w:szCs w:val="24"/>
        </w:rPr>
        <w:t>.</w:t>
      </w:r>
    </w:p>
    <w:p w14:paraId="38768C36" w14:textId="64F0DB79" w:rsidR="00DF3E95" w:rsidRPr="00DF3E95" w:rsidRDefault="00DF3E95" w:rsidP="00AD165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3E95">
        <w:rPr>
          <w:rFonts w:ascii="Arial" w:hAnsi="Arial" w:cs="Arial"/>
          <w:sz w:val="24"/>
          <w:szCs w:val="24"/>
        </w:rPr>
        <w:t>Prepare a</w:t>
      </w:r>
      <w:r w:rsidR="004B1577">
        <w:rPr>
          <w:rFonts w:ascii="Arial" w:hAnsi="Arial" w:cs="Arial"/>
          <w:sz w:val="24"/>
          <w:szCs w:val="24"/>
        </w:rPr>
        <w:t xml:space="preserve"> pipetting</w:t>
      </w:r>
      <w:r w:rsidRPr="00DF3E95">
        <w:rPr>
          <w:rFonts w:ascii="Arial" w:hAnsi="Arial" w:cs="Arial"/>
          <w:sz w:val="24"/>
          <w:szCs w:val="24"/>
        </w:rPr>
        <w:t xml:space="preserve"> scheme/sample sheet us</w:t>
      </w:r>
      <w:r w:rsidR="0098443E">
        <w:rPr>
          <w:rFonts w:ascii="Arial" w:hAnsi="Arial" w:cs="Arial"/>
          <w:sz w:val="24"/>
          <w:szCs w:val="24"/>
        </w:rPr>
        <w:t>ing Microsoft Excel spreadsheet.</w:t>
      </w:r>
    </w:p>
    <w:p w14:paraId="36EDB27C" w14:textId="47B87C53" w:rsidR="00DF3E95" w:rsidRPr="00DF3E95" w:rsidRDefault="00DF3E95" w:rsidP="00AD165B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3E95">
        <w:rPr>
          <w:rFonts w:ascii="Arial" w:hAnsi="Arial" w:cs="Arial"/>
          <w:sz w:val="24"/>
          <w:szCs w:val="24"/>
        </w:rPr>
        <w:t xml:space="preserve">Copy and paste </w:t>
      </w:r>
      <w:r w:rsidR="002036BD">
        <w:rPr>
          <w:rFonts w:ascii="Arial" w:hAnsi="Arial" w:cs="Arial"/>
          <w:sz w:val="24"/>
          <w:szCs w:val="24"/>
        </w:rPr>
        <w:t>the Loading Scheme</w:t>
      </w:r>
      <w:r w:rsidRPr="00DF3E95">
        <w:rPr>
          <w:rFonts w:ascii="Arial" w:hAnsi="Arial" w:cs="Arial"/>
          <w:sz w:val="24"/>
          <w:szCs w:val="24"/>
        </w:rPr>
        <w:t xml:space="preserve"> into LC480 software version 1.5.1</w:t>
      </w:r>
      <w:r w:rsidR="002036BD">
        <w:rPr>
          <w:rFonts w:ascii="Arial" w:hAnsi="Arial" w:cs="Arial"/>
          <w:sz w:val="24"/>
          <w:szCs w:val="24"/>
        </w:rPr>
        <w:t xml:space="preserve"> sample editor.</w:t>
      </w:r>
    </w:p>
    <w:p w14:paraId="57E501BB" w14:textId="77777777" w:rsidR="00DF3E95" w:rsidRPr="00DF3E95" w:rsidRDefault="00DF3E95" w:rsidP="00AD165B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3E95">
        <w:rPr>
          <w:rFonts w:ascii="Arial" w:hAnsi="Arial" w:cs="Arial"/>
          <w:sz w:val="24"/>
          <w:szCs w:val="24"/>
        </w:rPr>
        <w:t>After the run, first check the results of the controls. Amplification signal in a negative control indicates contamination in the reagents or cross-contamination. Determine source of contamination and repeat experiment.</w:t>
      </w:r>
    </w:p>
    <w:p w14:paraId="0780561A" w14:textId="45EE02B5" w:rsidR="00DF3E95" w:rsidRPr="00DF3E95" w:rsidRDefault="00DF3E95" w:rsidP="00AD165B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3E95">
        <w:rPr>
          <w:rFonts w:ascii="Arial" w:hAnsi="Arial" w:cs="Arial"/>
          <w:sz w:val="24"/>
          <w:szCs w:val="24"/>
        </w:rPr>
        <w:t xml:space="preserve">The </w:t>
      </w:r>
      <w:r w:rsidR="007404AE">
        <w:rPr>
          <w:rFonts w:ascii="Arial" w:hAnsi="Arial" w:cs="Arial"/>
          <w:sz w:val="24"/>
          <w:szCs w:val="24"/>
        </w:rPr>
        <w:t>R</w:t>
      </w:r>
      <w:r w:rsidRPr="00DF3E95">
        <w:rPr>
          <w:rFonts w:ascii="Arial" w:hAnsi="Arial" w:cs="Arial"/>
          <w:sz w:val="24"/>
          <w:szCs w:val="24"/>
        </w:rPr>
        <w:t xml:space="preserve">NA Extraction Control is required </w:t>
      </w:r>
      <w:r w:rsidR="004B1577">
        <w:rPr>
          <w:rFonts w:ascii="Arial" w:hAnsi="Arial" w:cs="Arial"/>
          <w:sz w:val="24"/>
          <w:szCs w:val="24"/>
        </w:rPr>
        <w:t>to validate the extraction and PCR assays.</w:t>
      </w:r>
    </w:p>
    <w:p w14:paraId="35144161" w14:textId="6062A9BF" w:rsidR="00DF3E95" w:rsidRPr="00DF3E95" w:rsidRDefault="00DF3E95" w:rsidP="00AD165B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036BD">
        <w:rPr>
          <w:rFonts w:ascii="Arial" w:hAnsi="Arial" w:cs="Arial"/>
          <w:sz w:val="24"/>
          <w:szCs w:val="24"/>
        </w:rPr>
        <w:t>Monitor and document instrument performance using The LightCyler® 480 control kit</w:t>
      </w:r>
      <w:r w:rsidRPr="00DF3E95">
        <w:rPr>
          <w:rFonts w:ascii="Arial" w:hAnsi="Arial" w:cs="Arial"/>
          <w:sz w:val="24"/>
          <w:szCs w:val="24"/>
        </w:rPr>
        <w:t xml:space="preserve"> (</w:t>
      </w:r>
      <w:r w:rsidR="00F476B7">
        <w:rPr>
          <w:rFonts w:ascii="Arial" w:hAnsi="Arial" w:cs="Arial"/>
          <w:sz w:val="24"/>
          <w:szCs w:val="24"/>
        </w:rPr>
        <w:t xml:space="preserve">cat# </w:t>
      </w:r>
      <w:r w:rsidRPr="002036BD">
        <w:rPr>
          <w:rFonts w:ascii="Arial" w:hAnsi="Arial" w:cs="Arial"/>
          <w:sz w:val="24"/>
          <w:szCs w:val="24"/>
        </w:rPr>
        <w:t xml:space="preserve">04710924001) </w:t>
      </w:r>
      <w:r w:rsidRPr="00DF3E95">
        <w:rPr>
          <w:rFonts w:ascii="Arial" w:hAnsi="Arial" w:cs="Arial"/>
          <w:sz w:val="24"/>
          <w:szCs w:val="24"/>
        </w:rPr>
        <w:t>at least once in a year</w:t>
      </w:r>
    </w:p>
    <w:p w14:paraId="6CE0FD3D" w14:textId="3F708130" w:rsidR="00877002" w:rsidRDefault="002036BD" w:rsidP="00877002">
      <w:pPr>
        <w:pStyle w:val="Heading2"/>
      </w:pPr>
      <w:bookmarkStart w:id="11" w:name="_Toc383157609"/>
      <w:bookmarkStart w:id="12" w:name="_Toc378325262"/>
      <w:bookmarkStart w:id="13" w:name="_Toc253756636"/>
      <w:bookmarkStart w:id="14" w:name="_Toc377652830"/>
      <w:bookmarkStart w:id="15" w:name="_Toc402800076"/>
      <w:bookmarkStart w:id="16" w:name="_Toc36489717"/>
      <w:r>
        <w:t>Template</w:t>
      </w:r>
      <w:bookmarkEnd w:id="11"/>
      <w:bookmarkEnd w:id="12"/>
      <w:bookmarkEnd w:id="13"/>
      <w:bookmarkEnd w:id="14"/>
      <w:bookmarkEnd w:id="15"/>
      <w:bookmarkEnd w:id="16"/>
    </w:p>
    <w:p w14:paraId="6E6BEF96" w14:textId="6B294E3B" w:rsidR="002036BD" w:rsidRPr="002036BD" w:rsidRDefault="007404AE" w:rsidP="002036B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RNA</w:t>
      </w:r>
      <w:r w:rsidR="002036BD" w:rsidRPr="002036BD">
        <w:rPr>
          <w:rFonts w:ascii="Arial" w:hAnsi="Arial" w:cs="Arial"/>
          <w:lang w:val="en-US"/>
        </w:rPr>
        <w:t xml:space="preserve"> (extracted according to SOP</w:t>
      </w:r>
      <w:r w:rsidR="00C9068A">
        <w:rPr>
          <w:rFonts w:ascii="Arial" w:hAnsi="Arial" w:cs="Arial"/>
          <w:lang w:val="en-US"/>
        </w:rPr>
        <w:t>010b</w:t>
      </w:r>
      <w:r w:rsidR="002036BD">
        <w:rPr>
          <w:rFonts w:ascii="Arial" w:hAnsi="Arial" w:cs="Arial"/>
          <w:lang w:val="en-US"/>
        </w:rPr>
        <w:t>-ITM CTP</w:t>
      </w:r>
      <w:r w:rsidR="002036BD" w:rsidRPr="002036BD">
        <w:rPr>
          <w:rFonts w:ascii="Arial" w:hAnsi="Arial" w:cs="Arial"/>
          <w:lang w:val="en-US"/>
        </w:rPr>
        <w:t>)</w:t>
      </w:r>
      <w:r w:rsidR="00E80B7C">
        <w:rPr>
          <w:rFonts w:ascii="Arial" w:hAnsi="Arial" w:cs="Arial"/>
          <w:lang w:val="en-US"/>
        </w:rPr>
        <w:t>.</w:t>
      </w:r>
    </w:p>
    <w:p w14:paraId="427DBDA3" w14:textId="5CD1C756" w:rsidR="00877002" w:rsidRDefault="002036BD" w:rsidP="002036BD">
      <w:pPr>
        <w:pStyle w:val="Heading2"/>
      </w:pPr>
      <w:bookmarkStart w:id="17" w:name="_Toc36489718"/>
      <w:r>
        <w:t>Materials and r</w:t>
      </w:r>
      <w:r w:rsidR="00877002">
        <w:t>eagents</w:t>
      </w:r>
      <w:bookmarkEnd w:id="17"/>
    </w:p>
    <w:p w14:paraId="1998C8D0" w14:textId="414D000F" w:rsidR="002036BD" w:rsidRPr="002036BD" w:rsidRDefault="00E4103B" w:rsidP="00CC2B7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RealStar</w:t>
      </w:r>
      <w:r w:rsidR="00CC2B74" w:rsidRPr="00CC2B74">
        <w:rPr>
          <w:rFonts w:ascii="Arial" w:hAnsi="Arial" w:cs="Arial"/>
          <w:sz w:val="24"/>
          <w:szCs w:val="24"/>
        </w:rPr>
        <w:t>® SARS-CoV-2 RT-PCR Kit 1.0</w:t>
      </w:r>
      <w:r w:rsidR="00CC2B74">
        <w:rPr>
          <w:rFonts w:ascii="Arial" w:hAnsi="Arial" w:cs="Arial"/>
          <w:sz w:val="24"/>
          <w:szCs w:val="24"/>
        </w:rPr>
        <w:t xml:space="preserve"> (Altona Diagnostics, </w:t>
      </w:r>
      <w:r w:rsidR="00F476B7">
        <w:rPr>
          <w:rFonts w:ascii="Arial" w:hAnsi="Arial" w:cs="Arial"/>
          <w:sz w:val="24"/>
          <w:szCs w:val="24"/>
        </w:rPr>
        <w:t xml:space="preserve">cat# </w:t>
      </w:r>
      <w:r w:rsidR="00CC2B74" w:rsidRPr="00CC2B74">
        <w:rPr>
          <w:rFonts w:ascii="Arial" w:hAnsi="Arial" w:cs="Arial"/>
          <w:sz w:val="24"/>
          <w:szCs w:val="24"/>
        </w:rPr>
        <w:t>821003</w:t>
      </w:r>
      <w:r w:rsidR="002036BD" w:rsidRPr="002036BD">
        <w:rPr>
          <w:rFonts w:ascii="Arial" w:hAnsi="Arial" w:cs="Arial"/>
          <w:sz w:val="24"/>
          <w:szCs w:val="24"/>
        </w:rPr>
        <w:t>)</w:t>
      </w:r>
    </w:p>
    <w:p w14:paraId="0F8F5032" w14:textId="1CD1BEBD" w:rsidR="002036BD" w:rsidRPr="002036BD" w:rsidRDefault="00F476B7" w:rsidP="002036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384-</w:t>
      </w:r>
      <w:r w:rsidR="002036BD" w:rsidRPr="002036BD">
        <w:rPr>
          <w:rFonts w:ascii="Arial" w:hAnsi="Arial" w:cs="Arial"/>
          <w:sz w:val="24"/>
          <w:szCs w:val="24"/>
        </w:rPr>
        <w:t>well plates for LC480 (</w:t>
      </w:r>
      <w:r>
        <w:rPr>
          <w:rFonts w:ascii="Arial" w:hAnsi="Arial" w:cs="Arial"/>
          <w:sz w:val="24"/>
          <w:szCs w:val="24"/>
        </w:rPr>
        <w:t xml:space="preserve">Roche, cat# </w:t>
      </w:r>
      <w:r w:rsidRPr="00F476B7">
        <w:rPr>
          <w:rFonts w:ascii="Arial" w:hAnsi="Arial" w:cs="Arial"/>
          <w:color w:val="000000"/>
          <w:sz w:val="24"/>
        </w:rPr>
        <w:t>4729749001</w:t>
      </w:r>
      <w:r w:rsidR="002036BD" w:rsidRPr="002036BD">
        <w:rPr>
          <w:rFonts w:ascii="Arial" w:hAnsi="Arial" w:cs="Arial"/>
          <w:sz w:val="24"/>
          <w:szCs w:val="24"/>
        </w:rPr>
        <w:t>)</w:t>
      </w:r>
    </w:p>
    <w:p w14:paraId="3C29ACF8" w14:textId="1F1C448D" w:rsidR="00F476B7" w:rsidRPr="003B1201" w:rsidRDefault="00F476B7" w:rsidP="00AD165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4"/>
        </w:rPr>
      </w:pPr>
      <w:r w:rsidRPr="003B1201">
        <w:rPr>
          <w:rFonts w:ascii="Arial" w:hAnsi="Arial" w:cs="Arial"/>
          <w:sz w:val="24"/>
          <w:szCs w:val="30"/>
          <w:shd w:val="clear" w:color="auto" w:fill="FFFFFF"/>
        </w:rPr>
        <w:t xml:space="preserve">50 µl </w:t>
      </w:r>
      <w:r w:rsidR="009668CA">
        <w:rPr>
          <w:rFonts w:ascii="Arial" w:hAnsi="Arial" w:cs="Arial"/>
          <w:sz w:val="24"/>
          <w:szCs w:val="30"/>
          <w:shd w:val="clear" w:color="auto" w:fill="FFFFFF"/>
        </w:rPr>
        <w:t>c</w:t>
      </w:r>
      <w:r w:rsidRPr="003B1201">
        <w:rPr>
          <w:rFonts w:ascii="Arial" w:hAnsi="Arial" w:cs="Arial"/>
          <w:sz w:val="24"/>
          <w:szCs w:val="30"/>
          <w:shd w:val="clear" w:color="auto" w:fill="FFFFFF"/>
        </w:rPr>
        <w:t xml:space="preserve">onductive </w:t>
      </w:r>
      <w:r w:rsidR="009668CA">
        <w:rPr>
          <w:rFonts w:ascii="Arial" w:hAnsi="Arial" w:cs="Arial"/>
          <w:sz w:val="24"/>
          <w:szCs w:val="30"/>
          <w:shd w:val="clear" w:color="auto" w:fill="FFFFFF"/>
        </w:rPr>
        <w:t>f</w:t>
      </w:r>
      <w:r w:rsidRPr="003B1201">
        <w:rPr>
          <w:rFonts w:ascii="Arial" w:hAnsi="Arial" w:cs="Arial"/>
          <w:sz w:val="24"/>
          <w:szCs w:val="30"/>
          <w:shd w:val="clear" w:color="auto" w:fill="FFFFFF"/>
        </w:rPr>
        <w:t xml:space="preserve">iltered </w:t>
      </w:r>
      <w:r w:rsidR="009668CA">
        <w:rPr>
          <w:rFonts w:ascii="Arial" w:hAnsi="Arial" w:cs="Arial"/>
          <w:sz w:val="24"/>
          <w:szCs w:val="30"/>
          <w:shd w:val="clear" w:color="auto" w:fill="FFFFFF"/>
        </w:rPr>
        <w:t>t</w:t>
      </w:r>
      <w:r w:rsidRPr="003B1201">
        <w:rPr>
          <w:rFonts w:ascii="Arial" w:hAnsi="Arial" w:cs="Arial"/>
          <w:sz w:val="24"/>
          <w:szCs w:val="30"/>
          <w:shd w:val="clear" w:color="auto" w:fill="FFFFFF"/>
        </w:rPr>
        <w:t>ips (Qiagen, cat# 990512)</w:t>
      </w:r>
    </w:p>
    <w:p w14:paraId="24C7743A" w14:textId="0F38781D" w:rsidR="002036BD" w:rsidRPr="002036BD" w:rsidRDefault="002036BD" w:rsidP="00AD165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036BD">
        <w:rPr>
          <w:rFonts w:ascii="Arial" w:hAnsi="Arial" w:cs="Arial"/>
          <w:sz w:val="24"/>
          <w:szCs w:val="24"/>
        </w:rPr>
        <w:t xml:space="preserve">Pipettes set (P1000, P100, P10) </w:t>
      </w:r>
    </w:p>
    <w:p w14:paraId="12C2ABD7" w14:textId="77777777" w:rsidR="002036BD" w:rsidRPr="002036BD" w:rsidRDefault="002036BD" w:rsidP="00AD165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036BD">
        <w:rPr>
          <w:rFonts w:ascii="Arial" w:hAnsi="Arial" w:cs="Arial"/>
          <w:sz w:val="24"/>
          <w:szCs w:val="24"/>
        </w:rPr>
        <w:t>Disposable filter tips</w:t>
      </w:r>
    </w:p>
    <w:p w14:paraId="5B72D5D6" w14:textId="1F7E69F3" w:rsidR="002036BD" w:rsidRPr="002036BD" w:rsidRDefault="002036BD" w:rsidP="002036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36BD">
        <w:rPr>
          <w:rFonts w:ascii="Arial" w:hAnsi="Arial" w:cs="Arial"/>
          <w:sz w:val="24"/>
          <w:szCs w:val="24"/>
        </w:rPr>
        <w:t>DN</w:t>
      </w:r>
      <w:r w:rsidR="004B1577">
        <w:rPr>
          <w:rFonts w:ascii="Arial" w:hAnsi="Arial" w:cs="Arial"/>
          <w:sz w:val="24"/>
          <w:szCs w:val="24"/>
        </w:rPr>
        <w:t>a</w:t>
      </w:r>
      <w:r w:rsidRPr="002036BD">
        <w:rPr>
          <w:rFonts w:ascii="Arial" w:hAnsi="Arial" w:cs="Arial"/>
          <w:sz w:val="24"/>
          <w:szCs w:val="24"/>
        </w:rPr>
        <w:t>se and RN</w:t>
      </w:r>
      <w:r w:rsidR="004B1577">
        <w:rPr>
          <w:rFonts w:ascii="Arial" w:hAnsi="Arial" w:cs="Arial"/>
          <w:sz w:val="24"/>
          <w:szCs w:val="24"/>
        </w:rPr>
        <w:t>a</w:t>
      </w:r>
      <w:r w:rsidRPr="002036BD">
        <w:rPr>
          <w:rFonts w:ascii="Arial" w:hAnsi="Arial" w:cs="Arial"/>
          <w:sz w:val="24"/>
          <w:szCs w:val="24"/>
        </w:rPr>
        <w:t>se-free tubes</w:t>
      </w:r>
      <w:r w:rsidR="00E36276">
        <w:rPr>
          <w:rFonts w:ascii="Arial" w:hAnsi="Arial" w:cs="Arial"/>
          <w:sz w:val="24"/>
          <w:szCs w:val="24"/>
        </w:rPr>
        <w:t xml:space="preserve"> </w:t>
      </w:r>
    </w:p>
    <w:p w14:paraId="5F825BCA" w14:textId="77777777" w:rsidR="002036BD" w:rsidRPr="002036BD" w:rsidRDefault="002036BD" w:rsidP="002036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36BD">
        <w:rPr>
          <w:rFonts w:ascii="Arial" w:hAnsi="Arial" w:cs="Arial"/>
          <w:sz w:val="24"/>
          <w:szCs w:val="24"/>
        </w:rPr>
        <w:t xml:space="preserve">Nuclease-free water </w:t>
      </w:r>
    </w:p>
    <w:p w14:paraId="03ADA6AC" w14:textId="77777777" w:rsidR="002036BD" w:rsidRPr="002036BD" w:rsidRDefault="002036BD" w:rsidP="002036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36BD">
        <w:rPr>
          <w:rFonts w:ascii="Arial" w:hAnsi="Arial" w:cs="Arial"/>
          <w:sz w:val="24"/>
          <w:szCs w:val="24"/>
        </w:rPr>
        <w:t xml:space="preserve">The LightCyler® 480 control kit (Roche, Cat No </w:t>
      </w:r>
      <w:r w:rsidRPr="002036BD">
        <w:rPr>
          <w:rFonts w:ascii="Arial" w:hAnsi="Arial" w:cs="Arial"/>
          <w:color w:val="000000"/>
          <w:sz w:val="24"/>
          <w:szCs w:val="24"/>
          <w:shd w:val="clear" w:color="auto" w:fill="FFFFFF"/>
        </w:rPr>
        <w:t>04710924001)</w:t>
      </w:r>
    </w:p>
    <w:p w14:paraId="17393E40" w14:textId="373C213D" w:rsidR="00877002" w:rsidRDefault="00D9121B" w:rsidP="002036BD">
      <w:pPr>
        <w:pStyle w:val="Heading2"/>
        <w:rPr>
          <w:lang w:val="en-GB"/>
        </w:rPr>
      </w:pPr>
      <w:bookmarkStart w:id="18" w:name="_Toc36489719"/>
      <w:bookmarkStart w:id="19" w:name="_Toc317851027"/>
      <w:bookmarkEnd w:id="10"/>
      <w:r>
        <w:rPr>
          <w:lang w:val="en-GB"/>
        </w:rPr>
        <w:t>Instrument</w:t>
      </w:r>
      <w:bookmarkEnd w:id="18"/>
    </w:p>
    <w:p w14:paraId="69679677" w14:textId="5CBDB426" w:rsidR="004B1577" w:rsidRPr="0098443E" w:rsidRDefault="004B1577" w:rsidP="0098443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8443E">
        <w:rPr>
          <w:rFonts w:ascii="Arial" w:hAnsi="Arial" w:cs="Arial"/>
          <w:sz w:val="24"/>
          <w:szCs w:val="24"/>
        </w:rPr>
        <w:t>QIAgility (Qiagen)</w:t>
      </w:r>
    </w:p>
    <w:p w14:paraId="499BF2C4" w14:textId="277D7D62" w:rsidR="002036BD" w:rsidRPr="0098443E" w:rsidRDefault="002036BD" w:rsidP="0098443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8443E">
        <w:rPr>
          <w:rFonts w:ascii="Arial" w:hAnsi="Arial" w:cs="Arial"/>
          <w:sz w:val="24"/>
          <w:szCs w:val="24"/>
        </w:rPr>
        <w:t>LightCycler® 480 Instrument II</w:t>
      </w:r>
      <w:r w:rsidR="004B1577" w:rsidRPr="0098443E">
        <w:rPr>
          <w:rFonts w:ascii="Arial" w:hAnsi="Arial" w:cs="Arial"/>
          <w:sz w:val="24"/>
          <w:szCs w:val="24"/>
        </w:rPr>
        <w:t xml:space="preserve"> (Roche)</w:t>
      </w:r>
    </w:p>
    <w:p w14:paraId="581BCD63" w14:textId="78A6EDCC" w:rsidR="00071C6E" w:rsidRPr="0098443E" w:rsidRDefault="00071C6E" w:rsidP="0098443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8443E">
        <w:rPr>
          <w:rFonts w:ascii="Arial" w:hAnsi="Arial" w:cs="Arial"/>
          <w:sz w:val="24"/>
          <w:szCs w:val="24"/>
        </w:rPr>
        <w:t>PCR workstation</w:t>
      </w:r>
    </w:p>
    <w:p w14:paraId="69107DB5" w14:textId="38B37853" w:rsidR="00071C6E" w:rsidRPr="0098443E" w:rsidRDefault="00983214" w:rsidP="0098443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8443E">
        <w:rPr>
          <w:rFonts w:ascii="Arial" w:hAnsi="Arial" w:cs="Arial"/>
          <w:sz w:val="24"/>
          <w:szCs w:val="24"/>
        </w:rPr>
        <w:t>Centrifuge</w:t>
      </w:r>
    </w:p>
    <w:p w14:paraId="7DD17236" w14:textId="77777777" w:rsidR="00754FD9" w:rsidRPr="00754FD9" w:rsidRDefault="002036BD" w:rsidP="00754FD9">
      <w:pPr>
        <w:pStyle w:val="Heading2"/>
        <w:rPr>
          <w:lang w:val="en-US"/>
        </w:rPr>
      </w:pPr>
      <w:bookmarkStart w:id="20" w:name="_Toc36489720"/>
      <w:r>
        <w:rPr>
          <w:lang w:val="en-US"/>
        </w:rPr>
        <w:lastRenderedPageBreak/>
        <w:t>Procedural description</w:t>
      </w:r>
      <w:bookmarkStart w:id="21" w:name="_Toc282433207"/>
      <w:bookmarkEnd w:id="20"/>
    </w:p>
    <w:p w14:paraId="73CC8F08" w14:textId="5D7D5A7E" w:rsidR="00BD71F3" w:rsidRPr="00BD71F3" w:rsidRDefault="00754FD9" w:rsidP="00BD71F3">
      <w:pPr>
        <w:pStyle w:val="Heading3"/>
        <w:rPr>
          <w:lang w:val="en-US"/>
        </w:rPr>
      </w:pPr>
      <w:bookmarkStart w:id="22" w:name="_Toc36489721"/>
      <w:r>
        <w:rPr>
          <w:lang w:val="en-US"/>
        </w:rPr>
        <w:t>Setting up QIAgility</w:t>
      </w:r>
      <w:bookmarkEnd w:id="22"/>
    </w:p>
    <w:p w14:paraId="6C678AEF" w14:textId="3C54FD55" w:rsidR="00754FD9" w:rsidRPr="00723AD0" w:rsidRDefault="00081632" w:rsidP="003E787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081632">
        <w:rPr>
          <w:rFonts w:ascii="Arial" w:hAnsi="Arial" w:cs="Arial"/>
          <w:sz w:val="24"/>
        </w:rPr>
        <w:t>Swi</w:t>
      </w:r>
      <w:r>
        <w:rPr>
          <w:rFonts w:ascii="Arial" w:hAnsi="Arial" w:cs="Arial"/>
          <w:sz w:val="24"/>
        </w:rPr>
        <w:t xml:space="preserve">tch on the QIAgility </w:t>
      </w:r>
      <w:r w:rsidR="00EB3928">
        <w:rPr>
          <w:rFonts w:ascii="Arial" w:hAnsi="Arial" w:cs="Arial"/>
          <w:sz w:val="24"/>
        </w:rPr>
        <w:t>with</w:t>
      </w:r>
      <w:r>
        <w:rPr>
          <w:rFonts w:ascii="Arial" w:hAnsi="Arial" w:cs="Arial"/>
          <w:sz w:val="24"/>
        </w:rPr>
        <w:t xml:space="preserve"> the power button </w:t>
      </w:r>
      <w:r w:rsidR="00EB3928">
        <w:rPr>
          <w:rFonts w:ascii="Arial" w:hAnsi="Arial" w:cs="Arial"/>
          <w:sz w:val="24"/>
        </w:rPr>
        <w:t xml:space="preserve">located </w:t>
      </w:r>
      <w:r w:rsidR="008A7149">
        <w:rPr>
          <w:rFonts w:ascii="Arial" w:hAnsi="Arial" w:cs="Arial"/>
          <w:sz w:val="24"/>
        </w:rPr>
        <w:t>at the rear of the instrument and ensure the lid is closed.</w:t>
      </w:r>
      <w:r w:rsidR="00723AD0">
        <w:rPr>
          <w:rFonts w:ascii="Arial" w:hAnsi="Arial" w:cs="Arial"/>
          <w:sz w:val="24"/>
        </w:rPr>
        <w:t xml:space="preserve"> </w:t>
      </w:r>
    </w:p>
    <w:p w14:paraId="12AF3DCD" w14:textId="30779CC4" w:rsidR="00723AD0" w:rsidRPr="00723AD0" w:rsidRDefault="0098443E" w:rsidP="003E787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Switch</w:t>
      </w:r>
      <w:r w:rsidR="00723AD0">
        <w:rPr>
          <w:rFonts w:ascii="Arial" w:hAnsi="Arial" w:cs="Arial"/>
          <w:sz w:val="24"/>
        </w:rPr>
        <w:t xml:space="preserve"> on the laptop connected to the QIAgility instrument.</w:t>
      </w:r>
    </w:p>
    <w:p w14:paraId="2E309442" w14:textId="0636F6C4" w:rsidR="00081632" w:rsidRDefault="00723AD0" w:rsidP="003E787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723AD0">
        <w:rPr>
          <w:rFonts w:ascii="Arial" w:hAnsi="Arial" w:cs="Arial"/>
          <w:sz w:val="24"/>
        </w:rPr>
        <w:t>Double-click on the “QIAgility”</w:t>
      </w:r>
      <w:r>
        <w:rPr>
          <w:rFonts w:ascii="Arial" w:hAnsi="Arial" w:cs="Arial"/>
          <w:sz w:val="24"/>
        </w:rPr>
        <w:t xml:space="preserve"> icon on the desktop.</w:t>
      </w:r>
    </w:p>
    <w:p w14:paraId="05A579E6" w14:textId="5D756B4C" w:rsidR="00723AD0" w:rsidRDefault="00D85082" w:rsidP="003E787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Click on the “Recent” tab from the welcome dialog screen</w:t>
      </w:r>
      <w:r w:rsidR="00111F3D">
        <w:rPr>
          <w:rFonts w:ascii="Arial" w:hAnsi="Arial" w:cs="Arial"/>
          <w:sz w:val="24"/>
        </w:rPr>
        <w:t>. Click “Browse” and navigate to QAS Run file</w:t>
      </w:r>
      <w:r w:rsidR="00A334F7">
        <w:rPr>
          <w:rFonts w:ascii="Arial" w:hAnsi="Arial" w:cs="Arial"/>
          <w:sz w:val="24"/>
        </w:rPr>
        <w:t xml:space="preserve"> template</w:t>
      </w:r>
      <w:r w:rsidR="00111F3D">
        <w:rPr>
          <w:rFonts w:ascii="Arial" w:hAnsi="Arial" w:cs="Arial"/>
          <w:sz w:val="24"/>
        </w:rPr>
        <w:t xml:space="preserve"> “384well plate with 96-well EMTR plate</w:t>
      </w:r>
      <w:r w:rsidR="00A334F7">
        <w:rPr>
          <w:rFonts w:ascii="Arial" w:hAnsi="Arial" w:cs="Arial"/>
          <w:sz w:val="24"/>
        </w:rPr>
        <w:t>” (This PC/Local Disk (C)/ Program Files/QIAgility/Data). Click “Open”.</w:t>
      </w:r>
    </w:p>
    <w:p w14:paraId="6B7C9325" w14:textId="0D4D03C6" w:rsidR="00D85082" w:rsidRDefault="00D85082" w:rsidP="003E787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main software window will appear and configure</w:t>
      </w:r>
      <w:r w:rsidR="00141F3A">
        <w:rPr>
          <w:rFonts w:ascii="Arial" w:hAnsi="Arial" w:cs="Arial"/>
          <w:sz w:val="24"/>
        </w:rPr>
        <w:t xml:space="preserve"> </w:t>
      </w:r>
      <w:r w:rsidR="00766C80">
        <w:rPr>
          <w:rFonts w:ascii="Arial" w:hAnsi="Arial" w:cs="Arial"/>
          <w:sz w:val="24"/>
        </w:rPr>
        <w:t>the worktable</w:t>
      </w:r>
      <w:r>
        <w:rPr>
          <w:rFonts w:ascii="Arial" w:hAnsi="Arial" w:cs="Arial"/>
          <w:sz w:val="24"/>
        </w:rPr>
        <w:t xml:space="preserve"> </w:t>
      </w:r>
      <w:r w:rsidR="00766C80">
        <w:rPr>
          <w:rFonts w:ascii="Arial" w:hAnsi="Arial" w:cs="Arial"/>
          <w:sz w:val="24"/>
        </w:rPr>
        <w:t>layout</w:t>
      </w:r>
      <w:r w:rsidR="00141F3A">
        <w:rPr>
          <w:rFonts w:ascii="Arial" w:hAnsi="Arial" w:cs="Arial"/>
          <w:sz w:val="24"/>
        </w:rPr>
        <w:t xml:space="preserve"> with the following function</w:t>
      </w:r>
      <w:r>
        <w:rPr>
          <w:rFonts w:ascii="Arial" w:hAnsi="Arial" w:cs="Arial"/>
          <w:sz w:val="24"/>
        </w:rPr>
        <w:t>:</w:t>
      </w:r>
    </w:p>
    <w:p w14:paraId="5745CB16" w14:textId="33EEFA3A" w:rsidR="00D85082" w:rsidRDefault="00141F3A" w:rsidP="003E787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M1: </w:t>
      </w:r>
      <w:r w:rsidR="00CE76D9">
        <w:rPr>
          <w:rFonts w:ascii="Arial" w:hAnsi="Arial" w:cs="Arial"/>
          <w:sz w:val="24"/>
        </w:rPr>
        <w:t>“</w:t>
      </w:r>
      <w:r w:rsidR="00BD71F3">
        <w:rPr>
          <w:rFonts w:ascii="Arial" w:hAnsi="Arial" w:cs="Arial"/>
          <w:sz w:val="24"/>
        </w:rPr>
        <w:t>M</w:t>
      </w:r>
      <w:r w:rsidRPr="00CE76D9">
        <w:rPr>
          <w:rFonts w:ascii="Arial" w:hAnsi="Arial" w:cs="Arial"/>
          <w:sz w:val="24"/>
        </w:rPr>
        <w:t>ix</w:t>
      </w:r>
      <w:r w:rsidR="00CE76D9">
        <w:rPr>
          <w:rFonts w:ascii="Arial" w:hAnsi="Arial" w:cs="Arial"/>
          <w:sz w:val="24"/>
        </w:rPr>
        <w:t>”</w:t>
      </w:r>
      <w:r w:rsidR="009903BB">
        <w:rPr>
          <w:rFonts w:ascii="Arial" w:hAnsi="Arial" w:cs="Arial"/>
          <w:sz w:val="24"/>
        </w:rPr>
        <w:t xml:space="preserve"> (B to E wells for 1.5mL tube and A for 5 mL tube)</w:t>
      </w:r>
    </w:p>
    <w:p w14:paraId="2A13C302" w14:textId="59AF5B9F" w:rsidR="00141F3A" w:rsidRPr="00141F3A" w:rsidRDefault="00141F3A" w:rsidP="003E787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A1 &amp; A2: </w:t>
      </w:r>
      <w:r w:rsidR="00CE76D9">
        <w:rPr>
          <w:rFonts w:ascii="Arial" w:hAnsi="Arial" w:cs="Arial"/>
          <w:sz w:val="24"/>
        </w:rPr>
        <w:t>“</w:t>
      </w:r>
      <w:r w:rsidRPr="00CE76D9">
        <w:rPr>
          <w:rFonts w:ascii="Arial" w:hAnsi="Arial" w:cs="Arial"/>
          <w:sz w:val="24"/>
        </w:rPr>
        <w:t>Tip</w:t>
      </w:r>
      <w:r w:rsidR="00CE76D9">
        <w:rPr>
          <w:rFonts w:ascii="Arial" w:hAnsi="Arial" w:cs="Arial"/>
          <w:sz w:val="24"/>
        </w:rPr>
        <w:t>”</w:t>
      </w:r>
      <w:r w:rsidRPr="00CE76D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="009903BB">
        <w:rPr>
          <w:rFonts w:ascii="Arial" w:hAnsi="Arial" w:cs="Arial"/>
          <w:sz w:val="24"/>
        </w:rPr>
        <w:t xml:space="preserve">Fill-in </w:t>
      </w:r>
      <w:r w:rsidR="009903BB" w:rsidRPr="003B1201">
        <w:rPr>
          <w:rFonts w:ascii="Arial" w:hAnsi="Arial" w:cs="Arial"/>
          <w:sz w:val="24"/>
          <w:szCs w:val="30"/>
          <w:shd w:val="clear" w:color="auto" w:fill="FFFFFF"/>
        </w:rPr>
        <w:t xml:space="preserve">50 µl </w:t>
      </w:r>
      <w:r w:rsidR="009903BB">
        <w:rPr>
          <w:rFonts w:ascii="Arial" w:hAnsi="Arial" w:cs="Arial"/>
          <w:sz w:val="24"/>
          <w:szCs w:val="30"/>
          <w:shd w:val="clear" w:color="auto" w:fill="FFFFFF"/>
        </w:rPr>
        <w:t>c</w:t>
      </w:r>
      <w:r w:rsidR="009903BB" w:rsidRPr="003B1201">
        <w:rPr>
          <w:rFonts w:ascii="Arial" w:hAnsi="Arial" w:cs="Arial"/>
          <w:sz w:val="24"/>
          <w:szCs w:val="30"/>
          <w:shd w:val="clear" w:color="auto" w:fill="FFFFFF"/>
        </w:rPr>
        <w:t xml:space="preserve">onductive </w:t>
      </w:r>
      <w:r w:rsidR="009903BB">
        <w:rPr>
          <w:rFonts w:ascii="Arial" w:hAnsi="Arial" w:cs="Arial"/>
          <w:sz w:val="24"/>
          <w:szCs w:val="30"/>
          <w:shd w:val="clear" w:color="auto" w:fill="FFFFFF"/>
        </w:rPr>
        <w:t>f</w:t>
      </w:r>
      <w:r w:rsidR="009903BB" w:rsidRPr="003B1201">
        <w:rPr>
          <w:rFonts w:ascii="Arial" w:hAnsi="Arial" w:cs="Arial"/>
          <w:sz w:val="24"/>
          <w:szCs w:val="30"/>
          <w:shd w:val="clear" w:color="auto" w:fill="FFFFFF"/>
        </w:rPr>
        <w:t xml:space="preserve">iltered </w:t>
      </w:r>
      <w:r w:rsidR="009903BB">
        <w:rPr>
          <w:rFonts w:ascii="Arial" w:hAnsi="Arial" w:cs="Arial"/>
          <w:sz w:val="24"/>
          <w:szCs w:val="30"/>
          <w:shd w:val="clear" w:color="auto" w:fill="FFFFFF"/>
        </w:rPr>
        <w:t>t</w:t>
      </w:r>
      <w:r w:rsidR="009903BB" w:rsidRPr="003B1201">
        <w:rPr>
          <w:rFonts w:ascii="Arial" w:hAnsi="Arial" w:cs="Arial"/>
          <w:sz w:val="24"/>
          <w:szCs w:val="30"/>
          <w:shd w:val="clear" w:color="auto" w:fill="FFFFFF"/>
        </w:rPr>
        <w:t>ips</w:t>
      </w:r>
      <w:r w:rsidR="009903BB">
        <w:rPr>
          <w:rFonts w:ascii="Arial" w:hAnsi="Arial" w:cs="Arial"/>
          <w:sz w:val="24"/>
          <w:szCs w:val="30"/>
          <w:shd w:val="clear" w:color="auto" w:fill="FFFFFF"/>
        </w:rPr>
        <w:t xml:space="preserve"> here</w:t>
      </w:r>
      <w:r>
        <w:rPr>
          <w:rFonts w:ascii="Arial" w:hAnsi="Arial" w:cs="Arial"/>
          <w:sz w:val="24"/>
          <w:szCs w:val="30"/>
          <w:shd w:val="clear" w:color="auto" w:fill="FFFFFF"/>
        </w:rPr>
        <w:t>)</w:t>
      </w:r>
    </w:p>
    <w:p w14:paraId="282BBC3F" w14:textId="3CAB1B9A" w:rsidR="00141F3A" w:rsidRPr="00141F3A" w:rsidRDefault="00141F3A" w:rsidP="003E787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B1 &amp; B2: </w:t>
      </w:r>
      <w:r w:rsidR="00CE76D9">
        <w:rPr>
          <w:rFonts w:ascii="Arial" w:hAnsi="Arial" w:cs="Arial"/>
          <w:sz w:val="24"/>
        </w:rPr>
        <w:t>“</w:t>
      </w:r>
      <w:r w:rsidRPr="00CE76D9">
        <w:rPr>
          <w:rFonts w:ascii="Arial" w:hAnsi="Arial" w:cs="Arial"/>
          <w:sz w:val="24"/>
        </w:rPr>
        <w:t>Tip</w:t>
      </w:r>
      <w:r w:rsidR="00CE76D9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(</w:t>
      </w:r>
      <w:r w:rsidR="009903BB">
        <w:rPr>
          <w:rFonts w:ascii="Arial" w:hAnsi="Arial" w:cs="Arial"/>
          <w:sz w:val="24"/>
        </w:rPr>
        <w:t xml:space="preserve">Fill-in </w:t>
      </w:r>
      <w:r w:rsidRPr="003B1201">
        <w:rPr>
          <w:rFonts w:ascii="Arial" w:hAnsi="Arial" w:cs="Arial"/>
          <w:sz w:val="24"/>
          <w:szCs w:val="30"/>
          <w:shd w:val="clear" w:color="auto" w:fill="FFFFFF"/>
        </w:rPr>
        <w:t xml:space="preserve">50 µl </w:t>
      </w:r>
      <w:r w:rsidR="009903BB">
        <w:rPr>
          <w:rFonts w:ascii="Arial" w:hAnsi="Arial" w:cs="Arial"/>
          <w:sz w:val="24"/>
          <w:szCs w:val="30"/>
          <w:shd w:val="clear" w:color="auto" w:fill="FFFFFF"/>
        </w:rPr>
        <w:t>c</w:t>
      </w:r>
      <w:r w:rsidRPr="003B1201">
        <w:rPr>
          <w:rFonts w:ascii="Arial" w:hAnsi="Arial" w:cs="Arial"/>
          <w:sz w:val="24"/>
          <w:szCs w:val="30"/>
          <w:shd w:val="clear" w:color="auto" w:fill="FFFFFF"/>
        </w:rPr>
        <w:t xml:space="preserve">onductive </w:t>
      </w:r>
      <w:r w:rsidR="009903BB">
        <w:rPr>
          <w:rFonts w:ascii="Arial" w:hAnsi="Arial" w:cs="Arial"/>
          <w:sz w:val="24"/>
          <w:szCs w:val="30"/>
          <w:shd w:val="clear" w:color="auto" w:fill="FFFFFF"/>
        </w:rPr>
        <w:t>f</w:t>
      </w:r>
      <w:r w:rsidRPr="003B1201">
        <w:rPr>
          <w:rFonts w:ascii="Arial" w:hAnsi="Arial" w:cs="Arial"/>
          <w:sz w:val="24"/>
          <w:szCs w:val="30"/>
          <w:shd w:val="clear" w:color="auto" w:fill="FFFFFF"/>
        </w:rPr>
        <w:t xml:space="preserve">iltered </w:t>
      </w:r>
      <w:r w:rsidR="009903BB">
        <w:rPr>
          <w:rFonts w:ascii="Arial" w:hAnsi="Arial" w:cs="Arial"/>
          <w:sz w:val="24"/>
          <w:szCs w:val="30"/>
          <w:shd w:val="clear" w:color="auto" w:fill="FFFFFF"/>
        </w:rPr>
        <w:t>t</w:t>
      </w:r>
      <w:r w:rsidRPr="003B1201">
        <w:rPr>
          <w:rFonts w:ascii="Arial" w:hAnsi="Arial" w:cs="Arial"/>
          <w:sz w:val="24"/>
          <w:szCs w:val="30"/>
          <w:shd w:val="clear" w:color="auto" w:fill="FFFFFF"/>
        </w:rPr>
        <w:t>ips</w:t>
      </w:r>
      <w:r w:rsidR="009903BB">
        <w:rPr>
          <w:rFonts w:ascii="Arial" w:hAnsi="Arial" w:cs="Arial"/>
          <w:sz w:val="24"/>
          <w:szCs w:val="30"/>
          <w:shd w:val="clear" w:color="auto" w:fill="FFFFFF"/>
        </w:rPr>
        <w:t xml:space="preserve"> here</w:t>
      </w:r>
      <w:r>
        <w:rPr>
          <w:rFonts w:ascii="Arial" w:hAnsi="Arial" w:cs="Arial"/>
          <w:sz w:val="24"/>
          <w:szCs w:val="30"/>
          <w:shd w:val="clear" w:color="auto" w:fill="FFFFFF"/>
        </w:rPr>
        <w:t>)</w:t>
      </w:r>
    </w:p>
    <w:p w14:paraId="34CB532B" w14:textId="13820C0F" w:rsidR="00141F3A" w:rsidRDefault="00141F3A" w:rsidP="003E787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C1:  </w:t>
      </w:r>
      <w:r w:rsidR="00CE76D9">
        <w:rPr>
          <w:rFonts w:ascii="Arial" w:hAnsi="Arial" w:cs="Arial"/>
          <w:sz w:val="24"/>
        </w:rPr>
        <w:t>“</w:t>
      </w:r>
      <w:r w:rsidRPr="00CE76D9">
        <w:rPr>
          <w:rFonts w:ascii="Arial" w:hAnsi="Arial" w:cs="Arial"/>
          <w:sz w:val="24"/>
        </w:rPr>
        <w:t>Sample</w:t>
      </w:r>
      <w:r w:rsidR="00CE76D9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(</w:t>
      </w:r>
      <w:r w:rsidR="009903BB">
        <w:rPr>
          <w:rFonts w:ascii="Arial" w:hAnsi="Arial" w:cs="Arial"/>
          <w:sz w:val="24"/>
        </w:rPr>
        <w:t xml:space="preserve">place </w:t>
      </w:r>
      <w:r w:rsidR="009668CA">
        <w:rPr>
          <w:rFonts w:ascii="Arial" w:hAnsi="Arial" w:cs="Arial"/>
          <w:sz w:val="24"/>
        </w:rPr>
        <w:t>sample tubes</w:t>
      </w:r>
      <w:r w:rsidR="009903BB">
        <w:rPr>
          <w:rFonts w:ascii="Arial" w:hAnsi="Arial" w:cs="Arial"/>
          <w:sz w:val="24"/>
        </w:rPr>
        <w:t xml:space="preserve"> here</w:t>
      </w:r>
      <w:r>
        <w:rPr>
          <w:rFonts w:ascii="Arial" w:hAnsi="Arial" w:cs="Arial"/>
          <w:sz w:val="24"/>
        </w:rPr>
        <w:t>)</w:t>
      </w:r>
    </w:p>
    <w:p w14:paraId="550A0606" w14:textId="69182767" w:rsidR="009903BB" w:rsidRPr="00BD71F3" w:rsidRDefault="00141F3A" w:rsidP="003E787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C2: </w:t>
      </w:r>
      <w:r w:rsidR="00CE76D9">
        <w:rPr>
          <w:rFonts w:ascii="Arial" w:hAnsi="Arial" w:cs="Arial"/>
          <w:sz w:val="24"/>
        </w:rPr>
        <w:t>“</w:t>
      </w:r>
      <w:r w:rsidRPr="00CE76D9">
        <w:rPr>
          <w:rFonts w:ascii="Arial" w:hAnsi="Arial" w:cs="Arial"/>
          <w:sz w:val="24"/>
        </w:rPr>
        <w:t>Reaction</w:t>
      </w:r>
      <w:r w:rsidR="00CE76D9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(</w:t>
      </w:r>
      <w:r w:rsidR="009903BB">
        <w:rPr>
          <w:rFonts w:ascii="Arial" w:hAnsi="Arial" w:cs="Arial"/>
          <w:sz w:val="24"/>
        </w:rPr>
        <w:t xml:space="preserve">place a </w:t>
      </w:r>
      <w:r w:rsidR="009903BB">
        <w:rPr>
          <w:rFonts w:ascii="Arial" w:hAnsi="Arial" w:cs="Arial"/>
          <w:sz w:val="24"/>
          <w:szCs w:val="24"/>
        </w:rPr>
        <w:t>384-well plate with adapter here)</w:t>
      </w:r>
    </w:p>
    <w:p w14:paraId="72024C0C" w14:textId="286002CD" w:rsidR="00BD71F3" w:rsidRDefault="005D3356" w:rsidP="00BD71F3">
      <w:pPr>
        <w:pStyle w:val="Heading3"/>
        <w:rPr>
          <w:lang w:val="en-US"/>
        </w:rPr>
      </w:pPr>
      <w:bookmarkStart w:id="23" w:name="_Toc36489722"/>
      <w:r>
        <w:rPr>
          <w:lang w:val="en-US"/>
        </w:rPr>
        <w:t>Preparing a master mix for reaction setup</w:t>
      </w:r>
      <w:bookmarkEnd w:id="23"/>
    </w:p>
    <w:p w14:paraId="6541C3B8" w14:textId="1BAFBB40" w:rsidR="00BD71F3" w:rsidRPr="00535D66" w:rsidRDefault="00BD71F3" w:rsidP="003E787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35D66">
        <w:rPr>
          <w:rFonts w:ascii="Arial" w:hAnsi="Arial" w:cs="Arial"/>
          <w:sz w:val="24"/>
          <w:szCs w:val="24"/>
        </w:rPr>
        <w:t>Prepare a master mix as mentioned in step 4.5.</w:t>
      </w:r>
      <w:r w:rsidR="00820EA7">
        <w:rPr>
          <w:rFonts w:ascii="Arial" w:hAnsi="Arial" w:cs="Arial"/>
          <w:sz w:val="24"/>
          <w:szCs w:val="24"/>
        </w:rPr>
        <w:t>7</w:t>
      </w:r>
      <w:r w:rsidR="003876D0" w:rsidRPr="00535D66">
        <w:rPr>
          <w:rFonts w:ascii="Arial" w:hAnsi="Arial" w:cs="Arial"/>
          <w:sz w:val="24"/>
          <w:szCs w:val="24"/>
        </w:rPr>
        <w:t xml:space="preserve"> </w:t>
      </w:r>
      <w:r w:rsidR="00535D66">
        <w:rPr>
          <w:rFonts w:ascii="Arial" w:hAnsi="Arial" w:cs="Arial"/>
          <w:sz w:val="24"/>
          <w:szCs w:val="24"/>
        </w:rPr>
        <w:t xml:space="preserve">in a </w:t>
      </w:r>
      <w:r w:rsidR="00071C6E">
        <w:rPr>
          <w:rFonts w:ascii="Arial" w:hAnsi="Arial" w:cs="Arial"/>
          <w:sz w:val="24"/>
          <w:szCs w:val="24"/>
        </w:rPr>
        <w:t>PCR workstation</w:t>
      </w:r>
      <w:r w:rsidR="00535D66">
        <w:rPr>
          <w:rFonts w:ascii="Arial" w:hAnsi="Arial" w:cs="Arial"/>
          <w:sz w:val="24"/>
          <w:szCs w:val="24"/>
        </w:rPr>
        <w:t xml:space="preserve"> </w:t>
      </w:r>
      <w:r w:rsidR="003876D0" w:rsidRPr="00535D66">
        <w:rPr>
          <w:rFonts w:ascii="Arial" w:hAnsi="Arial" w:cs="Arial"/>
          <w:sz w:val="24"/>
          <w:szCs w:val="24"/>
        </w:rPr>
        <w:t>and configure the QIAgility as follows</w:t>
      </w:r>
    </w:p>
    <w:p w14:paraId="09F9B85D" w14:textId="77C5C917" w:rsidR="009903BB" w:rsidRPr="00535D66" w:rsidRDefault="00A334F7" w:rsidP="003E787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F2797" w:rsidRPr="00535D66">
        <w:rPr>
          <w:rFonts w:ascii="Arial" w:hAnsi="Arial" w:cs="Arial"/>
          <w:sz w:val="24"/>
          <w:szCs w:val="24"/>
        </w:rPr>
        <w:t>lick on the well in the mastermix block (</w:t>
      </w:r>
      <w:r w:rsidR="00535D66">
        <w:rPr>
          <w:rFonts w:ascii="Arial" w:hAnsi="Arial" w:cs="Arial"/>
          <w:sz w:val="24"/>
          <w:szCs w:val="24"/>
        </w:rPr>
        <w:t xml:space="preserve">workspace position </w:t>
      </w:r>
      <w:r w:rsidR="00CF2797" w:rsidRPr="00535D66">
        <w:rPr>
          <w:rFonts w:ascii="Arial" w:hAnsi="Arial" w:cs="Arial"/>
          <w:sz w:val="24"/>
          <w:szCs w:val="24"/>
        </w:rPr>
        <w:t>M1) that contain</w:t>
      </w:r>
      <w:r w:rsidR="0098443E">
        <w:rPr>
          <w:rFonts w:ascii="Arial" w:hAnsi="Arial" w:cs="Arial"/>
          <w:sz w:val="24"/>
          <w:szCs w:val="24"/>
        </w:rPr>
        <w:t>s</w:t>
      </w:r>
      <w:r w:rsidR="00CF2797" w:rsidRPr="00535D66">
        <w:rPr>
          <w:rFonts w:ascii="Arial" w:hAnsi="Arial" w:cs="Arial"/>
          <w:sz w:val="24"/>
          <w:szCs w:val="24"/>
        </w:rPr>
        <w:t xml:space="preserve"> the mastermix</w:t>
      </w:r>
      <w:r w:rsidR="005D3356" w:rsidRPr="00535D66">
        <w:rPr>
          <w:rFonts w:ascii="Arial" w:hAnsi="Arial" w:cs="Arial"/>
          <w:sz w:val="24"/>
          <w:szCs w:val="24"/>
        </w:rPr>
        <w:t xml:space="preserve"> tube</w:t>
      </w:r>
      <w:r w:rsidR="00CF2797" w:rsidRPr="00535D66">
        <w:rPr>
          <w:rFonts w:ascii="Arial" w:hAnsi="Arial" w:cs="Arial"/>
          <w:sz w:val="24"/>
          <w:szCs w:val="24"/>
        </w:rPr>
        <w:t>. The “Mix</w:t>
      </w:r>
      <w:r>
        <w:rPr>
          <w:rFonts w:ascii="Arial" w:hAnsi="Arial" w:cs="Arial"/>
          <w:sz w:val="24"/>
          <w:szCs w:val="24"/>
        </w:rPr>
        <w:t xml:space="preserve"> Selection</w:t>
      </w:r>
      <w:r w:rsidR="00CF2797" w:rsidRPr="00535D66">
        <w:rPr>
          <w:rFonts w:ascii="Arial" w:hAnsi="Arial" w:cs="Arial"/>
          <w:sz w:val="24"/>
          <w:szCs w:val="24"/>
        </w:rPr>
        <w:t>” right-hand pane will appear.</w:t>
      </w:r>
    </w:p>
    <w:p w14:paraId="54672E79" w14:textId="76F8EEFA" w:rsidR="00CF2797" w:rsidRPr="00535D66" w:rsidRDefault="00CF2797" w:rsidP="003E787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35D66">
        <w:rPr>
          <w:rFonts w:ascii="Arial" w:hAnsi="Arial" w:cs="Arial"/>
          <w:sz w:val="24"/>
          <w:szCs w:val="24"/>
        </w:rPr>
        <w:t>Select “Use Master Mix”. Enter a name for the master mix in the “Master Mix name” field.</w:t>
      </w:r>
    </w:p>
    <w:p w14:paraId="052D8379" w14:textId="2A595F47" w:rsidR="00CF2797" w:rsidRPr="00535D66" w:rsidRDefault="00CF2797" w:rsidP="003E787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35D66">
        <w:rPr>
          <w:rFonts w:ascii="Arial" w:hAnsi="Arial" w:cs="Arial"/>
          <w:sz w:val="24"/>
          <w:szCs w:val="24"/>
        </w:rPr>
        <w:t>Click on the “Configure Mix” button. The “Master Mix Component Selection” window will appear.</w:t>
      </w:r>
    </w:p>
    <w:p w14:paraId="3613A2CD" w14:textId="4204E043" w:rsidR="00CF2797" w:rsidRPr="00535D66" w:rsidRDefault="00CF2797" w:rsidP="003E787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35D66">
        <w:rPr>
          <w:rFonts w:ascii="Arial" w:hAnsi="Arial" w:cs="Arial"/>
          <w:sz w:val="24"/>
          <w:szCs w:val="24"/>
        </w:rPr>
        <w:t xml:space="preserve">Enter the master mix volume per reaction (enter </w:t>
      </w:r>
      <w:r w:rsidR="008A286A" w:rsidRPr="009668CA">
        <w:rPr>
          <w:rFonts w:ascii="Arial" w:hAnsi="Arial" w:cs="Arial"/>
          <w:b/>
          <w:sz w:val="24"/>
          <w:szCs w:val="24"/>
        </w:rPr>
        <w:t>10</w:t>
      </w:r>
      <w:r w:rsidRPr="00535D66">
        <w:rPr>
          <w:rFonts w:ascii="Arial" w:hAnsi="Arial" w:cs="Arial"/>
          <w:sz w:val="24"/>
          <w:szCs w:val="24"/>
        </w:rPr>
        <w:t xml:space="preserve"> µL)</w:t>
      </w:r>
      <w:r w:rsidR="0098443E">
        <w:rPr>
          <w:rFonts w:ascii="Arial" w:hAnsi="Arial" w:cs="Arial"/>
          <w:sz w:val="24"/>
          <w:szCs w:val="24"/>
        </w:rPr>
        <w:t>.</w:t>
      </w:r>
    </w:p>
    <w:p w14:paraId="271A704F" w14:textId="3C3B978C" w:rsidR="00CE76D9" w:rsidRPr="00535D66" w:rsidRDefault="00CE76D9" w:rsidP="003E787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35D66">
        <w:rPr>
          <w:rFonts w:ascii="Arial" w:hAnsi="Arial" w:cs="Arial"/>
          <w:sz w:val="24"/>
          <w:szCs w:val="24"/>
        </w:rPr>
        <w:t xml:space="preserve">Enter the default sample volume (enter </w:t>
      </w:r>
      <w:r w:rsidRPr="009668CA">
        <w:rPr>
          <w:rFonts w:ascii="Arial" w:hAnsi="Arial" w:cs="Arial"/>
          <w:b/>
          <w:sz w:val="24"/>
          <w:szCs w:val="24"/>
        </w:rPr>
        <w:t>5</w:t>
      </w:r>
      <w:r w:rsidRPr="00535D66">
        <w:rPr>
          <w:rFonts w:ascii="Arial" w:hAnsi="Arial" w:cs="Arial"/>
          <w:sz w:val="24"/>
          <w:szCs w:val="24"/>
        </w:rPr>
        <w:t xml:space="preserve"> µL). The total reaction volume will then be displayed (1</w:t>
      </w:r>
      <w:r w:rsidR="00E4103B">
        <w:rPr>
          <w:rFonts w:ascii="Arial" w:hAnsi="Arial" w:cs="Arial"/>
          <w:sz w:val="24"/>
          <w:szCs w:val="24"/>
        </w:rPr>
        <w:t>5</w:t>
      </w:r>
      <w:r w:rsidRPr="00535D66">
        <w:rPr>
          <w:rFonts w:ascii="Arial" w:hAnsi="Arial" w:cs="Arial"/>
          <w:sz w:val="24"/>
          <w:szCs w:val="24"/>
        </w:rPr>
        <w:t xml:space="preserve"> µL) and click “OK”.</w:t>
      </w:r>
    </w:p>
    <w:p w14:paraId="108C14AE" w14:textId="3D37F935" w:rsidR="00CE76D9" w:rsidRPr="00535D66" w:rsidRDefault="00BD71F3" w:rsidP="003E787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35D66">
        <w:rPr>
          <w:rFonts w:ascii="Arial" w:hAnsi="Arial" w:cs="Arial"/>
          <w:sz w:val="24"/>
          <w:szCs w:val="24"/>
        </w:rPr>
        <w:t>Then, select “</w:t>
      </w:r>
      <w:r w:rsidR="00CE76D9" w:rsidRPr="00535D66">
        <w:rPr>
          <w:rFonts w:ascii="Arial" w:hAnsi="Arial" w:cs="Arial"/>
          <w:sz w:val="24"/>
          <w:szCs w:val="24"/>
        </w:rPr>
        <w:t>Use pre-mixed Master Mix?” from the “Mix” pane</w:t>
      </w:r>
      <w:r w:rsidRPr="00535D66">
        <w:rPr>
          <w:rFonts w:ascii="Arial" w:hAnsi="Arial" w:cs="Arial"/>
          <w:sz w:val="24"/>
          <w:szCs w:val="24"/>
        </w:rPr>
        <w:t>. The corresponding well in the Master Mix Block (M1) will now be colored yellow.</w:t>
      </w:r>
    </w:p>
    <w:p w14:paraId="6678A1A2" w14:textId="14081C4D" w:rsidR="005D3356" w:rsidRDefault="005D3356" w:rsidP="005D3356">
      <w:pPr>
        <w:pStyle w:val="Heading3"/>
        <w:rPr>
          <w:lang w:val="en-US"/>
        </w:rPr>
      </w:pPr>
      <w:bookmarkStart w:id="24" w:name="_Toc36489723"/>
      <w:r>
        <w:rPr>
          <w:lang w:val="en-US"/>
        </w:rPr>
        <w:t>Creating a sample bank</w:t>
      </w:r>
      <w:bookmarkEnd w:id="24"/>
    </w:p>
    <w:p w14:paraId="21EDE7D0" w14:textId="54017C98" w:rsidR="005D3356" w:rsidRDefault="00535D66" w:rsidP="003E787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the sample </w:t>
      </w:r>
      <w:r w:rsidR="009668CA">
        <w:rPr>
          <w:rFonts w:ascii="Arial" w:hAnsi="Arial" w:cs="Arial"/>
          <w:sz w:val="24"/>
          <w:szCs w:val="24"/>
        </w:rPr>
        <w:t>rack</w:t>
      </w:r>
      <w:r>
        <w:rPr>
          <w:rFonts w:ascii="Arial" w:hAnsi="Arial" w:cs="Arial"/>
          <w:sz w:val="24"/>
          <w:szCs w:val="24"/>
        </w:rPr>
        <w:t xml:space="preserve"> (workspace position C1) and the “Sample Bank</w:t>
      </w:r>
      <w:r w:rsidR="00A334F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” dialog box will appear.</w:t>
      </w:r>
    </w:p>
    <w:p w14:paraId="2B023610" w14:textId="209A10C2" w:rsidR="00535D66" w:rsidRDefault="007A705A" w:rsidP="003E787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“New Bank” and enter a name for the new sample bank.</w:t>
      </w:r>
    </w:p>
    <w:p w14:paraId="6270E8A6" w14:textId="47026AD9" w:rsidR="007A705A" w:rsidRDefault="007A705A" w:rsidP="003E787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all </w:t>
      </w:r>
      <w:r w:rsidR="009668CA">
        <w:rPr>
          <w:rFonts w:ascii="Arial" w:hAnsi="Arial" w:cs="Arial"/>
          <w:sz w:val="24"/>
          <w:szCs w:val="24"/>
        </w:rPr>
        <w:t>samples for amplification</w:t>
      </w:r>
    </w:p>
    <w:p w14:paraId="2590F3E3" w14:textId="55865A9D" w:rsidR="007A705A" w:rsidRDefault="007A705A" w:rsidP="003E787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“Add Selection</w:t>
      </w:r>
      <w:r w:rsidR="00A334F7">
        <w:rPr>
          <w:rFonts w:ascii="Arial" w:hAnsi="Arial" w:cs="Arial"/>
          <w:sz w:val="24"/>
          <w:szCs w:val="24"/>
        </w:rPr>
        <w:t>” button</w:t>
      </w:r>
      <w:r>
        <w:rPr>
          <w:rFonts w:ascii="Arial" w:hAnsi="Arial" w:cs="Arial"/>
          <w:sz w:val="24"/>
          <w:szCs w:val="24"/>
        </w:rPr>
        <w:t xml:space="preserve"> and </w:t>
      </w:r>
      <w:r w:rsidR="00A334F7">
        <w:rPr>
          <w:rFonts w:ascii="Arial" w:hAnsi="Arial" w:cs="Arial"/>
          <w:sz w:val="24"/>
          <w:szCs w:val="24"/>
        </w:rPr>
        <w:t>then “Done</w:t>
      </w:r>
      <w:r>
        <w:rPr>
          <w:rFonts w:ascii="Arial" w:hAnsi="Arial" w:cs="Arial"/>
          <w:sz w:val="24"/>
          <w:szCs w:val="24"/>
        </w:rPr>
        <w:t xml:space="preserve">”. The selected </w:t>
      </w:r>
      <w:r w:rsidR="009668CA">
        <w:rPr>
          <w:rFonts w:ascii="Arial" w:hAnsi="Arial" w:cs="Arial"/>
          <w:sz w:val="24"/>
          <w:szCs w:val="24"/>
        </w:rPr>
        <w:t>samples</w:t>
      </w:r>
      <w:r>
        <w:rPr>
          <w:rFonts w:ascii="Arial" w:hAnsi="Arial" w:cs="Arial"/>
          <w:sz w:val="24"/>
          <w:szCs w:val="24"/>
        </w:rPr>
        <w:t xml:space="preserve"> will now appear in color in the workspace position C1.</w:t>
      </w:r>
    </w:p>
    <w:p w14:paraId="1B2F5DC3" w14:textId="2BDC00A0" w:rsidR="007A705A" w:rsidRDefault="007A705A" w:rsidP="007A705A">
      <w:pPr>
        <w:pStyle w:val="Heading3"/>
        <w:rPr>
          <w:lang w:val="en-US"/>
        </w:rPr>
      </w:pPr>
      <w:bookmarkStart w:id="25" w:name="_Toc36489724"/>
      <w:r>
        <w:rPr>
          <w:lang w:val="en-US"/>
        </w:rPr>
        <w:lastRenderedPageBreak/>
        <w:t>Setting up a reaction list</w:t>
      </w:r>
      <w:bookmarkEnd w:id="25"/>
    </w:p>
    <w:p w14:paraId="6251B5CF" w14:textId="348F1D57" w:rsidR="007A705A" w:rsidRDefault="00507BDE" w:rsidP="003E787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a reaction plate (workspace position C2) and the “Reaction</w:t>
      </w:r>
      <w:r w:rsidR="004A08AA">
        <w:rPr>
          <w:rFonts w:ascii="Arial" w:hAnsi="Arial" w:cs="Arial"/>
          <w:sz w:val="24"/>
          <w:szCs w:val="24"/>
        </w:rPr>
        <w:t xml:space="preserve"> List</w:t>
      </w:r>
      <w:r>
        <w:rPr>
          <w:rFonts w:ascii="Arial" w:hAnsi="Arial" w:cs="Arial"/>
          <w:sz w:val="24"/>
          <w:szCs w:val="24"/>
        </w:rPr>
        <w:t>” right-hand pane will appear.</w:t>
      </w:r>
    </w:p>
    <w:p w14:paraId="5E315269" w14:textId="048B38A0" w:rsidR="00507BDE" w:rsidRDefault="00507BDE" w:rsidP="003E787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“Add” button.</w:t>
      </w:r>
    </w:p>
    <w:p w14:paraId="11BC6C16" w14:textId="231C917C" w:rsidR="00507BDE" w:rsidRDefault="00507BDE" w:rsidP="003E787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 sample bank from the drop-down menu in the “Samples” panel.</w:t>
      </w:r>
    </w:p>
    <w:p w14:paraId="0703428B" w14:textId="42AF7637" w:rsidR="00507BDE" w:rsidRDefault="00111F3D" w:rsidP="003E787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components of the reaction. Available master mixes are listed in the “Mixes”</w:t>
      </w:r>
      <w:r w:rsidR="004A08AA">
        <w:rPr>
          <w:rFonts w:ascii="Arial" w:hAnsi="Arial" w:cs="Arial"/>
          <w:sz w:val="24"/>
          <w:szCs w:val="24"/>
        </w:rPr>
        <w:t xml:space="preserve"> panel.</w:t>
      </w:r>
    </w:p>
    <w:p w14:paraId="00727998" w14:textId="17151270" w:rsidR="004A08AA" w:rsidRDefault="004A08AA" w:rsidP="003E787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 number of replicate from the “Target wells Replicates”.</w:t>
      </w:r>
    </w:p>
    <w:p w14:paraId="00534F47" w14:textId="4AB7EA97" w:rsidR="004A08AA" w:rsidRDefault="004A08AA" w:rsidP="003E787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Uncheck</w:t>
      </w:r>
      <w:r w:rsidR="00067073">
        <w:rPr>
          <w:rFonts w:ascii="Arial" w:hAnsi="Arial" w:cs="Arial"/>
          <w:sz w:val="24"/>
          <w:szCs w:val="24"/>
        </w:rPr>
        <w:t xml:space="preserve"> “Mix on ejection”</w:t>
      </w:r>
      <w:r w:rsidR="003E7878">
        <w:rPr>
          <w:rFonts w:ascii="Arial" w:hAnsi="Arial" w:cs="Arial"/>
          <w:sz w:val="24"/>
          <w:szCs w:val="24"/>
        </w:rPr>
        <w:t>.</w:t>
      </w:r>
    </w:p>
    <w:p w14:paraId="22A0F85A" w14:textId="0CAF7F52" w:rsidR="00067073" w:rsidRPr="00535D66" w:rsidRDefault="00067073" w:rsidP="003E787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“Ok”</w:t>
      </w:r>
      <w:r w:rsidR="003E7878">
        <w:rPr>
          <w:rFonts w:ascii="Arial" w:hAnsi="Arial" w:cs="Arial"/>
          <w:sz w:val="24"/>
          <w:szCs w:val="24"/>
        </w:rPr>
        <w:t>.</w:t>
      </w:r>
    </w:p>
    <w:p w14:paraId="463E01AB" w14:textId="7A797287" w:rsidR="00067073" w:rsidRDefault="00067073" w:rsidP="00067073">
      <w:pPr>
        <w:pStyle w:val="Heading3"/>
        <w:rPr>
          <w:lang w:val="en-US"/>
        </w:rPr>
      </w:pPr>
      <w:bookmarkStart w:id="26" w:name="_Toc36489725"/>
      <w:r>
        <w:rPr>
          <w:lang w:val="en-US"/>
        </w:rPr>
        <w:t>Set tip usage options</w:t>
      </w:r>
      <w:bookmarkEnd w:id="26"/>
    </w:p>
    <w:p w14:paraId="7B07EF6F" w14:textId="3FC6FFB1" w:rsidR="00067073" w:rsidRPr="00E36EB0" w:rsidRDefault="00E36EB0" w:rsidP="003E7878">
      <w:pPr>
        <w:pStyle w:val="ListParagraph"/>
        <w:numPr>
          <w:ilvl w:val="0"/>
          <w:numId w:val="14"/>
        </w:numPr>
        <w:jc w:val="both"/>
      </w:pPr>
      <w:r>
        <w:rPr>
          <w:rFonts w:ascii="Arial" w:hAnsi="Arial" w:cs="Arial"/>
          <w:sz w:val="24"/>
        </w:rPr>
        <w:t xml:space="preserve">Double-click on the bar “Tip re-use” to open the “Tip Usage” dialog box. </w:t>
      </w:r>
    </w:p>
    <w:p w14:paraId="504BF25B" w14:textId="4A4A63DB" w:rsidR="00E36EB0" w:rsidRPr="00E36EB0" w:rsidRDefault="00E36EB0" w:rsidP="003E7878">
      <w:pPr>
        <w:pStyle w:val="ListParagraph"/>
        <w:numPr>
          <w:ilvl w:val="0"/>
          <w:numId w:val="14"/>
        </w:numPr>
        <w:jc w:val="both"/>
      </w:pPr>
      <w:r>
        <w:rPr>
          <w:rFonts w:ascii="Arial" w:hAnsi="Arial" w:cs="Arial"/>
          <w:sz w:val="24"/>
        </w:rPr>
        <w:t>Select “Re-use tips where possible” from the drop-down menu.</w:t>
      </w:r>
    </w:p>
    <w:p w14:paraId="22E59AAF" w14:textId="5CEC5EE3" w:rsidR="00E36EB0" w:rsidRDefault="00DD6B85" w:rsidP="003E787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D6B85">
        <w:rPr>
          <w:rFonts w:ascii="Arial" w:hAnsi="Arial" w:cs="Arial"/>
          <w:sz w:val="24"/>
          <w:szCs w:val="24"/>
        </w:rPr>
        <w:t>Select</w:t>
      </w:r>
      <w:r>
        <w:rPr>
          <w:rFonts w:ascii="Arial" w:hAnsi="Arial" w:cs="Arial"/>
          <w:sz w:val="24"/>
          <w:szCs w:val="24"/>
        </w:rPr>
        <w:t xml:space="preserve"> “Allow multiple ejections from a single liquid pick-up”</w:t>
      </w:r>
      <w:r w:rsidR="003E7878">
        <w:rPr>
          <w:rFonts w:ascii="Arial" w:hAnsi="Arial" w:cs="Arial"/>
          <w:sz w:val="24"/>
          <w:szCs w:val="24"/>
        </w:rPr>
        <w:t>.</w:t>
      </w:r>
    </w:p>
    <w:p w14:paraId="19274F8F" w14:textId="73011B61" w:rsidR="00DD6B85" w:rsidRDefault="00DD6B85" w:rsidP="003E787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“Ok”</w:t>
      </w:r>
      <w:r w:rsidR="003E7878">
        <w:rPr>
          <w:rFonts w:ascii="Arial" w:hAnsi="Arial" w:cs="Arial"/>
          <w:sz w:val="24"/>
          <w:szCs w:val="24"/>
        </w:rPr>
        <w:t>.</w:t>
      </w:r>
    </w:p>
    <w:p w14:paraId="0EFD4EBA" w14:textId="49228E94" w:rsidR="00DD6B85" w:rsidRDefault="00DD6B85" w:rsidP="00DD6B85">
      <w:pPr>
        <w:pStyle w:val="Heading3"/>
        <w:rPr>
          <w:lang w:val="en-US"/>
        </w:rPr>
      </w:pPr>
      <w:bookmarkStart w:id="27" w:name="_Toc36489726"/>
      <w:r>
        <w:rPr>
          <w:lang w:val="en-US"/>
        </w:rPr>
        <w:t>Starting a run</w:t>
      </w:r>
      <w:bookmarkEnd w:id="27"/>
    </w:p>
    <w:p w14:paraId="73B84205" w14:textId="4639D12B" w:rsidR="00DD6B85" w:rsidRDefault="00DD6B85" w:rsidP="0084237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run icon (green button) on the toolbar.</w:t>
      </w:r>
    </w:p>
    <w:p w14:paraId="4DC4A5B2" w14:textId="29530286" w:rsidR="00DD6B85" w:rsidRDefault="00DD6B85" w:rsidP="0084237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“Sa</w:t>
      </w:r>
      <w:r w:rsidR="0084237C">
        <w:rPr>
          <w:rFonts w:ascii="Arial" w:hAnsi="Arial" w:cs="Arial"/>
          <w:sz w:val="24"/>
          <w:szCs w:val="24"/>
        </w:rPr>
        <w:t>ve as” dialog box will appear. For</w:t>
      </w:r>
      <w:r>
        <w:rPr>
          <w:rFonts w:ascii="Arial" w:hAnsi="Arial" w:cs="Arial"/>
          <w:sz w:val="24"/>
          <w:szCs w:val="24"/>
        </w:rPr>
        <w:t xml:space="preserve"> sav</w:t>
      </w:r>
      <w:r w:rsidR="0084237C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 run file, enter a name for the run file and click on the “Save” button.</w:t>
      </w:r>
    </w:p>
    <w:p w14:paraId="4BF88F69" w14:textId="7281174F" w:rsidR="00DD6B85" w:rsidRDefault="00DD6B85" w:rsidP="0084237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pre-run “Checklist” dialog box will appear.</w:t>
      </w:r>
    </w:p>
    <w:p w14:paraId="5D6838B8" w14:textId="0C844E2E" w:rsidR="00DD6B85" w:rsidRDefault="00DD6B85" w:rsidP="0084237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run has been set up correctly, the checklist will display blue message warnings and must be checked to continue.</w:t>
      </w:r>
      <w:r w:rsidR="00820EA7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ed message</w:t>
      </w:r>
      <w:r w:rsidR="00820EA7">
        <w:rPr>
          <w:rFonts w:ascii="Arial" w:hAnsi="Arial" w:cs="Arial"/>
          <w:sz w:val="24"/>
          <w:szCs w:val="24"/>
        </w:rPr>
        <w:t>s indicate errors and the user intervention is required before the run can be started.</w:t>
      </w:r>
    </w:p>
    <w:p w14:paraId="1D4D6568" w14:textId="76C47FFF" w:rsidR="00BD71F3" w:rsidRPr="00820EA7" w:rsidRDefault="00DD6B85" w:rsidP="0084237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“Ok” button to start the run.</w:t>
      </w:r>
    </w:p>
    <w:p w14:paraId="32297D67" w14:textId="7E15B96C" w:rsidR="002036BD" w:rsidRPr="002036BD" w:rsidRDefault="00F8416F" w:rsidP="002036BD">
      <w:pPr>
        <w:pStyle w:val="Heading3"/>
        <w:rPr>
          <w:lang w:val="en-US"/>
        </w:rPr>
      </w:pPr>
      <w:bookmarkStart w:id="28" w:name="_Toc36489727"/>
      <w:bookmarkEnd w:id="21"/>
      <w:r>
        <w:rPr>
          <w:lang w:val="en-US"/>
        </w:rPr>
        <w:t xml:space="preserve">Master </w:t>
      </w:r>
      <w:r w:rsidR="009D1B38">
        <w:rPr>
          <w:lang w:val="en-US"/>
        </w:rPr>
        <w:t>mix setup</w:t>
      </w:r>
      <w:bookmarkEnd w:id="28"/>
    </w:p>
    <w:p w14:paraId="28E5AE82" w14:textId="2529BA98" w:rsidR="00945DB7" w:rsidRPr="00945DB7" w:rsidRDefault="00945DB7" w:rsidP="00945DB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45DB7">
        <w:rPr>
          <w:rFonts w:ascii="Arial" w:hAnsi="Arial" w:cs="Arial"/>
          <w:sz w:val="24"/>
          <w:szCs w:val="24"/>
        </w:rPr>
        <w:t xml:space="preserve">All reagents should be thawed completely, mixed and kept on ice at all time. </w:t>
      </w:r>
    </w:p>
    <w:p w14:paraId="0E6483F3" w14:textId="3876EE13" w:rsidR="00945DB7" w:rsidRPr="00945DB7" w:rsidRDefault="00945DB7" w:rsidP="00945DB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45DB7">
        <w:rPr>
          <w:rFonts w:ascii="Arial" w:hAnsi="Arial" w:cs="Arial"/>
          <w:sz w:val="24"/>
          <w:szCs w:val="24"/>
        </w:rPr>
        <w:t>Prepare a master</w:t>
      </w:r>
      <w:r w:rsidR="00F8416F">
        <w:rPr>
          <w:rFonts w:ascii="Arial" w:hAnsi="Arial" w:cs="Arial"/>
          <w:sz w:val="24"/>
          <w:szCs w:val="24"/>
        </w:rPr>
        <w:t xml:space="preserve"> </w:t>
      </w:r>
      <w:r w:rsidRPr="00945DB7">
        <w:rPr>
          <w:rFonts w:ascii="Arial" w:hAnsi="Arial" w:cs="Arial"/>
          <w:sz w:val="24"/>
          <w:szCs w:val="24"/>
        </w:rPr>
        <w:t>mix on ice based on the number of samples intended for the assay. Include extra volume while preparing the master</w:t>
      </w:r>
      <w:r w:rsidR="00F8416F">
        <w:rPr>
          <w:rFonts w:ascii="Arial" w:hAnsi="Arial" w:cs="Arial"/>
          <w:sz w:val="24"/>
          <w:szCs w:val="24"/>
        </w:rPr>
        <w:t xml:space="preserve"> </w:t>
      </w:r>
      <w:r w:rsidRPr="00945DB7">
        <w:rPr>
          <w:rFonts w:ascii="Arial" w:hAnsi="Arial" w:cs="Arial"/>
          <w:sz w:val="24"/>
          <w:szCs w:val="24"/>
        </w:rPr>
        <w:t xml:space="preserve">mix </w:t>
      </w:r>
      <w:r w:rsidR="00820EA7">
        <w:rPr>
          <w:rFonts w:ascii="Arial" w:hAnsi="Arial" w:cs="Arial"/>
          <w:sz w:val="24"/>
          <w:szCs w:val="24"/>
        </w:rPr>
        <w:t>to account for pipetting losses and evaporation.</w:t>
      </w:r>
      <w:r w:rsidRPr="00945DB7">
        <w:rPr>
          <w:rFonts w:ascii="Arial" w:hAnsi="Arial" w:cs="Arial"/>
          <w:sz w:val="24"/>
          <w:szCs w:val="24"/>
        </w:rPr>
        <w:t xml:space="preserve"> Minimum </w:t>
      </w:r>
      <w:r w:rsidR="00CD2BED">
        <w:rPr>
          <w:rFonts w:ascii="Arial" w:hAnsi="Arial" w:cs="Arial"/>
          <w:sz w:val="24"/>
          <w:szCs w:val="24"/>
        </w:rPr>
        <w:t>2</w:t>
      </w:r>
      <w:r w:rsidRPr="00945DB7">
        <w:rPr>
          <w:rFonts w:ascii="Arial" w:hAnsi="Arial" w:cs="Arial"/>
          <w:sz w:val="24"/>
          <w:szCs w:val="24"/>
        </w:rPr>
        <w:t xml:space="preserve"> replicates are recommended for each sample.</w:t>
      </w:r>
    </w:p>
    <w:p w14:paraId="4126C922" w14:textId="3EDF9565" w:rsidR="00945DB7" w:rsidRPr="00945DB7" w:rsidRDefault="002501A8" w:rsidP="00945DB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real-</w:t>
      </w:r>
      <w:r w:rsidR="00945DB7" w:rsidRPr="00945DB7">
        <w:rPr>
          <w:rFonts w:ascii="Arial" w:hAnsi="Arial" w:cs="Arial"/>
          <w:sz w:val="24"/>
          <w:szCs w:val="24"/>
        </w:rPr>
        <w:t>time PCR assay must include positive and negative PCR control reactions in at least 2 replicates.</w:t>
      </w:r>
    </w:p>
    <w:p w14:paraId="07FEFE9D" w14:textId="033BF924" w:rsidR="00945DB7" w:rsidRPr="00945DB7" w:rsidRDefault="0029472B" w:rsidP="00945DB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45DB7" w:rsidRPr="00945DB7">
        <w:rPr>
          <w:rFonts w:ascii="Arial" w:hAnsi="Arial" w:cs="Arial"/>
          <w:sz w:val="24"/>
          <w:szCs w:val="24"/>
        </w:rPr>
        <w:t xml:space="preserve">se </w:t>
      </w:r>
      <w:r w:rsidR="002501A8">
        <w:rPr>
          <w:rFonts w:ascii="Arial" w:hAnsi="Arial" w:cs="Arial"/>
          <w:sz w:val="24"/>
          <w:szCs w:val="24"/>
        </w:rPr>
        <w:t>no-template extraction control (NTC)</w:t>
      </w:r>
      <w:r w:rsidR="00945DB7" w:rsidRPr="00945DB7">
        <w:rPr>
          <w:rFonts w:ascii="Arial" w:hAnsi="Arial" w:cs="Arial"/>
          <w:sz w:val="24"/>
          <w:szCs w:val="24"/>
        </w:rPr>
        <w:t xml:space="preserve"> fr</w:t>
      </w:r>
      <w:r w:rsidR="006E4D61">
        <w:rPr>
          <w:rFonts w:ascii="Arial" w:hAnsi="Arial" w:cs="Arial"/>
          <w:sz w:val="24"/>
          <w:szCs w:val="24"/>
        </w:rPr>
        <w:t>om a non-infected healthy donor.</w:t>
      </w:r>
    </w:p>
    <w:p w14:paraId="5C7A77AB" w14:textId="5D809553" w:rsidR="00945DB7" w:rsidRPr="00A721AB" w:rsidRDefault="0029472B" w:rsidP="00945DB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45DB7" w:rsidRPr="00A721AB">
        <w:rPr>
          <w:rFonts w:ascii="Arial" w:hAnsi="Arial" w:cs="Arial"/>
          <w:sz w:val="24"/>
          <w:szCs w:val="24"/>
        </w:rPr>
        <w:t xml:space="preserve">se </w:t>
      </w:r>
      <w:r w:rsidR="002501A8">
        <w:rPr>
          <w:rFonts w:ascii="Arial" w:hAnsi="Arial" w:cs="Arial"/>
          <w:sz w:val="24"/>
          <w:szCs w:val="24"/>
        </w:rPr>
        <w:t>internal control (IC) included in the kit</w:t>
      </w:r>
      <w:r w:rsidR="00C665D1" w:rsidRPr="00A721AB">
        <w:rPr>
          <w:rFonts w:ascii="Arial" w:hAnsi="Arial" w:cs="Arial"/>
          <w:sz w:val="24"/>
          <w:szCs w:val="24"/>
        </w:rPr>
        <w:t>. This can be</w:t>
      </w:r>
      <w:r w:rsidR="00467011">
        <w:rPr>
          <w:rFonts w:ascii="Arial" w:hAnsi="Arial" w:cs="Arial"/>
          <w:sz w:val="24"/>
          <w:szCs w:val="24"/>
        </w:rPr>
        <w:t xml:space="preserve"> used either</w:t>
      </w:r>
      <w:r w:rsidR="00C665D1" w:rsidRPr="00A721AB">
        <w:rPr>
          <w:rFonts w:ascii="Arial" w:hAnsi="Arial" w:cs="Arial"/>
          <w:sz w:val="24"/>
          <w:szCs w:val="24"/>
        </w:rPr>
        <w:t xml:space="preserve"> </w:t>
      </w:r>
      <w:r w:rsidR="00467011">
        <w:rPr>
          <w:rFonts w:ascii="Arial" w:hAnsi="Arial" w:cs="Arial"/>
          <w:sz w:val="24"/>
          <w:szCs w:val="24"/>
        </w:rPr>
        <w:t xml:space="preserve">as </w:t>
      </w:r>
      <w:r w:rsidR="00C665D1" w:rsidRPr="00A721AB">
        <w:rPr>
          <w:rFonts w:ascii="Arial" w:hAnsi="Arial" w:cs="Arial"/>
          <w:sz w:val="24"/>
          <w:szCs w:val="24"/>
        </w:rPr>
        <w:t xml:space="preserve">an extraction </w:t>
      </w:r>
      <w:r w:rsidR="00467011">
        <w:rPr>
          <w:rFonts w:ascii="Arial" w:hAnsi="Arial" w:cs="Arial"/>
          <w:sz w:val="24"/>
          <w:szCs w:val="24"/>
        </w:rPr>
        <w:t xml:space="preserve">control </w:t>
      </w:r>
      <w:r>
        <w:rPr>
          <w:rFonts w:ascii="Arial" w:hAnsi="Arial" w:cs="Arial"/>
          <w:sz w:val="24"/>
          <w:szCs w:val="24"/>
        </w:rPr>
        <w:t>or</w:t>
      </w:r>
      <w:r w:rsidR="00C665D1" w:rsidRPr="00A721AB">
        <w:rPr>
          <w:rFonts w:ascii="Arial" w:hAnsi="Arial" w:cs="Arial"/>
          <w:sz w:val="24"/>
          <w:szCs w:val="24"/>
        </w:rPr>
        <w:t xml:space="preserve"> PCR </w:t>
      </w:r>
      <w:r w:rsidR="00467011">
        <w:rPr>
          <w:rFonts w:ascii="Arial" w:hAnsi="Arial" w:cs="Arial"/>
          <w:sz w:val="24"/>
          <w:szCs w:val="24"/>
        </w:rPr>
        <w:t>inhibition</w:t>
      </w:r>
      <w:r w:rsidR="00C665D1" w:rsidRPr="00A721AB">
        <w:rPr>
          <w:rFonts w:ascii="Arial" w:hAnsi="Arial" w:cs="Arial"/>
          <w:sz w:val="24"/>
          <w:szCs w:val="24"/>
        </w:rPr>
        <w:t xml:space="preserve"> control</w:t>
      </w:r>
      <w:r w:rsidR="00A721AB">
        <w:rPr>
          <w:rFonts w:ascii="Arial" w:hAnsi="Arial" w:cs="Arial"/>
          <w:sz w:val="24"/>
          <w:szCs w:val="24"/>
        </w:rPr>
        <w:t xml:space="preserve"> (see SOP1</w:t>
      </w:r>
      <w:r>
        <w:rPr>
          <w:rFonts w:ascii="Arial" w:hAnsi="Arial" w:cs="Arial"/>
          <w:sz w:val="24"/>
          <w:szCs w:val="24"/>
        </w:rPr>
        <w:t>0</w:t>
      </w:r>
      <w:r w:rsidR="00C9068A">
        <w:rPr>
          <w:rFonts w:ascii="Arial" w:hAnsi="Arial" w:cs="Arial"/>
          <w:sz w:val="24"/>
          <w:szCs w:val="24"/>
        </w:rPr>
        <w:t>b</w:t>
      </w:r>
      <w:r w:rsidR="00A721AB">
        <w:rPr>
          <w:rFonts w:ascii="Arial" w:hAnsi="Arial" w:cs="Arial"/>
          <w:sz w:val="24"/>
          <w:szCs w:val="24"/>
        </w:rPr>
        <w:t>)</w:t>
      </w:r>
    </w:p>
    <w:p w14:paraId="614DC285" w14:textId="2DB411D2" w:rsidR="002501A8" w:rsidRDefault="00945DB7" w:rsidP="00945DB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721AB">
        <w:rPr>
          <w:rFonts w:ascii="Arial" w:hAnsi="Arial" w:cs="Arial"/>
          <w:sz w:val="24"/>
          <w:szCs w:val="24"/>
        </w:rPr>
        <w:t xml:space="preserve">Prepare one step RT-qPCR </w:t>
      </w:r>
      <w:r w:rsidR="003A3FB5">
        <w:rPr>
          <w:rFonts w:ascii="Arial" w:hAnsi="Arial" w:cs="Arial"/>
          <w:sz w:val="24"/>
          <w:szCs w:val="24"/>
        </w:rPr>
        <w:t>master</w:t>
      </w:r>
      <w:r w:rsidR="00F8416F">
        <w:rPr>
          <w:rFonts w:ascii="Arial" w:hAnsi="Arial" w:cs="Arial"/>
          <w:sz w:val="24"/>
          <w:szCs w:val="24"/>
        </w:rPr>
        <w:t xml:space="preserve"> </w:t>
      </w:r>
      <w:r w:rsidR="003A3FB5">
        <w:rPr>
          <w:rFonts w:ascii="Arial" w:hAnsi="Arial" w:cs="Arial"/>
          <w:sz w:val="24"/>
          <w:szCs w:val="24"/>
        </w:rPr>
        <w:t>m</w:t>
      </w:r>
      <w:r w:rsidR="00E4103B">
        <w:rPr>
          <w:rFonts w:ascii="Arial" w:hAnsi="Arial" w:cs="Arial"/>
          <w:sz w:val="24"/>
          <w:szCs w:val="24"/>
        </w:rPr>
        <w:t>ix</w:t>
      </w:r>
      <w:r w:rsidRPr="00A721AB">
        <w:rPr>
          <w:rFonts w:ascii="Arial" w:hAnsi="Arial" w:cs="Arial"/>
          <w:sz w:val="24"/>
          <w:szCs w:val="24"/>
        </w:rPr>
        <w:t xml:space="preserve"> as shown in the table </w:t>
      </w:r>
      <w:r w:rsidR="00F8416F">
        <w:rPr>
          <w:rFonts w:ascii="Arial" w:hAnsi="Arial" w:cs="Arial"/>
          <w:sz w:val="24"/>
          <w:szCs w:val="24"/>
        </w:rPr>
        <w:t>1.</w:t>
      </w:r>
    </w:p>
    <w:p w14:paraId="28970F42" w14:textId="77777777" w:rsidR="002501A8" w:rsidRDefault="002501A8">
      <w:pPr>
        <w:rPr>
          <w:rFonts w:ascii="Arial" w:eastAsiaTheme="minorEastAsia" w:hAnsi="Arial" w:cs="Arial"/>
          <w:lang w:val="en-US" w:eastAsia="en-US" w:bidi="en-US"/>
        </w:rPr>
      </w:pPr>
      <w:r w:rsidRPr="003A3FB5">
        <w:rPr>
          <w:rFonts w:ascii="Arial" w:hAnsi="Arial" w:cs="Arial"/>
          <w:lang w:val="en-US"/>
        </w:rPr>
        <w:br w:type="page"/>
      </w:r>
    </w:p>
    <w:p w14:paraId="5370CC42" w14:textId="201D3ACA" w:rsidR="00A76F38" w:rsidRDefault="00A76F38" w:rsidP="00A76F38">
      <w:pPr>
        <w:pStyle w:val="Caption"/>
        <w:keepNext/>
        <w:ind w:left="708" w:firstLine="12"/>
      </w:pPr>
      <w:r w:rsidRPr="00E4103B">
        <w:rPr>
          <w:lang w:val="en-US"/>
        </w:rPr>
        <w:lastRenderedPageBreak/>
        <w:t xml:space="preserve">  </w:t>
      </w: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21694">
        <w:rPr>
          <w:noProof/>
        </w:rPr>
        <w:t>1</w:t>
      </w:r>
      <w:r>
        <w:fldChar w:fldCharType="end"/>
      </w:r>
      <w:r>
        <w:t>. Master mix</w:t>
      </w:r>
    </w:p>
    <w:tbl>
      <w:tblPr>
        <w:tblStyle w:val="TableGrid2"/>
        <w:tblW w:w="0" w:type="auto"/>
        <w:tblInd w:w="805" w:type="dxa"/>
        <w:tblLook w:val="04A0" w:firstRow="1" w:lastRow="0" w:firstColumn="1" w:lastColumn="0" w:noHBand="0" w:noVBand="1"/>
      </w:tblPr>
      <w:tblGrid>
        <w:gridCol w:w="2237"/>
        <w:gridCol w:w="1667"/>
      </w:tblGrid>
      <w:tr w:rsidR="00A76F38" w:rsidRPr="00A76F38" w14:paraId="1CF546F8" w14:textId="77777777" w:rsidTr="00921694">
        <w:tc>
          <w:tcPr>
            <w:tcW w:w="2237" w:type="dxa"/>
            <w:shd w:val="clear" w:color="auto" w:fill="95B3D7" w:themeFill="accent1" w:themeFillTint="99"/>
          </w:tcPr>
          <w:p w14:paraId="5F8F5CD0" w14:textId="77777777" w:rsidR="00A76F38" w:rsidRPr="00A76F38" w:rsidRDefault="00A76F38" w:rsidP="00A76F38">
            <w:pPr>
              <w:rPr>
                <w:rFonts w:ascii="Calibri" w:eastAsia="Calibri" w:hAnsi="Calibri"/>
                <w:lang w:val="en-GB"/>
              </w:rPr>
            </w:pPr>
            <w:r w:rsidRPr="00A76F38">
              <w:rPr>
                <w:rFonts w:ascii="Calibri" w:eastAsia="Calibri" w:hAnsi="Calibri"/>
                <w:lang w:val="en-GB"/>
              </w:rPr>
              <w:t>Components</w:t>
            </w:r>
          </w:p>
        </w:tc>
        <w:tc>
          <w:tcPr>
            <w:tcW w:w="1667" w:type="dxa"/>
            <w:shd w:val="clear" w:color="auto" w:fill="95B3D7" w:themeFill="accent1" w:themeFillTint="99"/>
          </w:tcPr>
          <w:p w14:paraId="19E8760D" w14:textId="77777777" w:rsidR="00A76F38" w:rsidRPr="00A76F38" w:rsidRDefault="00A76F38" w:rsidP="00A76F38">
            <w:pPr>
              <w:rPr>
                <w:rFonts w:ascii="Calibri" w:eastAsia="Calibri" w:hAnsi="Calibri"/>
                <w:lang w:val="en-GB"/>
              </w:rPr>
            </w:pPr>
            <w:r w:rsidRPr="00A76F38">
              <w:rPr>
                <w:rFonts w:ascii="Calibri" w:eastAsia="Calibri" w:hAnsi="Calibri"/>
                <w:lang w:val="en-GB"/>
              </w:rPr>
              <w:t>Per reaction (</w:t>
            </w:r>
            <w:r w:rsidRPr="00A76F38">
              <w:rPr>
                <w:rFonts w:ascii="Calibri" w:eastAsia="Calibri" w:hAnsi="Calibri" w:cs="Calibri"/>
                <w:lang w:val="en-GB"/>
              </w:rPr>
              <w:t>µ</w:t>
            </w:r>
            <w:r w:rsidRPr="00A76F38">
              <w:rPr>
                <w:rFonts w:ascii="Calibri" w:eastAsia="Calibri" w:hAnsi="Calibri"/>
                <w:lang w:val="en-GB"/>
              </w:rPr>
              <w:t>l)</w:t>
            </w:r>
          </w:p>
        </w:tc>
      </w:tr>
      <w:tr w:rsidR="00A76F38" w:rsidRPr="00A76F38" w14:paraId="5D3354E1" w14:textId="77777777" w:rsidTr="00A76F38">
        <w:tc>
          <w:tcPr>
            <w:tcW w:w="2237" w:type="dxa"/>
          </w:tcPr>
          <w:p w14:paraId="08B05730" w14:textId="77777777" w:rsidR="00A76F38" w:rsidRPr="00A76F38" w:rsidRDefault="00A76F38" w:rsidP="00A76F38">
            <w:pPr>
              <w:rPr>
                <w:rFonts w:ascii="Calibri" w:eastAsia="Calibri" w:hAnsi="Calibri"/>
                <w:lang w:val="en-GB"/>
              </w:rPr>
            </w:pPr>
            <w:r w:rsidRPr="00A76F38">
              <w:rPr>
                <w:rFonts w:ascii="Calibri" w:eastAsia="Calibri" w:hAnsi="Calibri"/>
                <w:lang w:val="en-GB"/>
              </w:rPr>
              <w:t>Master A</w:t>
            </w:r>
          </w:p>
        </w:tc>
        <w:tc>
          <w:tcPr>
            <w:tcW w:w="1667" w:type="dxa"/>
          </w:tcPr>
          <w:p w14:paraId="700D7DAA" w14:textId="77777777" w:rsidR="00A76F38" w:rsidRPr="00A76F38" w:rsidRDefault="00A76F38" w:rsidP="00A76F38">
            <w:pPr>
              <w:jc w:val="center"/>
              <w:rPr>
                <w:rFonts w:ascii="Calibri" w:eastAsia="Calibri" w:hAnsi="Calibri"/>
                <w:lang w:val="en-GB"/>
              </w:rPr>
            </w:pPr>
            <w:r w:rsidRPr="00A76F38">
              <w:rPr>
                <w:rFonts w:ascii="Calibri" w:eastAsia="Calibri" w:hAnsi="Calibri"/>
                <w:lang w:val="en-GB"/>
              </w:rPr>
              <w:t>2.5</w:t>
            </w:r>
          </w:p>
        </w:tc>
      </w:tr>
      <w:tr w:rsidR="00A76F38" w:rsidRPr="00A76F38" w14:paraId="15362177" w14:textId="77777777" w:rsidTr="00A76F38">
        <w:tc>
          <w:tcPr>
            <w:tcW w:w="2237" w:type="dxa"/>
          </w:tcPr>
          <w:p w14:paraId="154C2517" w14:textId="77777777" w:rsidR="00A76F38" w:rsidRPr="00A76F38" w:rsidRDefault="00A76F38" w:rsidP="00A76F38">
            <w:pPr>
              <w:rPr>
                <w:rFonts w:ascii="Calibri" w:eastAsia="Calibri" w:hAnsi="Calibri"/>
                <w:lang w:val="en-GB"/>
              </w:rPr>
            </w:pPr>
            <w:r w:rsidRPr="00A76F38">
              <w:rPr>
                <w:rFonts w:ascii="Calibri" w:eastAsia="Calibri" w:hAnsi="Calibri"/>
                <w:lang w:val="en-GB"/>
              </w:rPr>
              <w:t>Master B</w:t>
            </w:r>
          </w:p>
        </w:tc>
        <w:tc>
          <w:tcPr>
            <w:tcW w:w="1667" w:type="dxa"/>
          </w:tcPr>
          <w:p w14:paraId="2537A5AB" w14:textId="77777777" w:rsidR="00A76F38" w:rsidRPr="00A76F38" w:rsidRDefault="00A76F38" w:rsidP="00A76F38">
            <w:pPr>
              <w:jc w:val="center"/>
              <w:rPr>
                <w:rFonts w:ascii="Calibri" w:eastAsia="Calibri" w:hAnsi="Calibri"/>
                <w:lang w:val="en-GB"/>
              </w:rPr>
            </w:pPr>
            <w:r w:rsidRPr="00A76F38">
              <w:rPr>
                <w:rFonts w:ascii="Calibri" w:eastAsia="Calibri" w:hAnsi="Calibri"/>
                <w:lang w:val="en-GB"/>
              </w:rPr>
              <w:t>7.5</w:t>
            </w:r>
          </w:p>
        </w:tc>
      </w:tr>
      <w:tr w:rsidR="00A76F38" w:rsidRPr="00A76F38" w14:paraId="438371A1" w14:textId="77777777" w:rsidTr="00A76F38">
        <w:tc>
          <w:tcPr>
            <w:tcW w:w="2237" w:type="dxa"/>
          </w:tcPr>
          <w:p w14:paraId="58AE9DE8" w14:textId="77777777" w:rsidR="00A76F38" w:rsidRPr="00A76F38" w:rsidRDefault="00A76F38" w:rsidP="00A76F38">
            <w:pPr>
              <w:rPr>
                <w:rFonts w:ascii="Calibri" w:eastAsia="Calibri" w:hAnsi="Calibri"/>
                <w:lang w:val="en-GB"/>
              </w:rPr>
            </w:pPr>
            <w:r w:rsidRPr="00A76F38">
              <w:rPr>
                <w:rFonts w:ascii="Calibri" w:eastAsia="Calibri" w:hAnsi="Calibri"/>
                <w:lang w:val="en-GB"/>
              </w:rPr>
              <w:t>Volume master mix</w:t>
            </w:r>
          </w:p>
        </w:tc>
        <w:tc>
          <w:tcPr>
            <w:tcW w:w="1667" w:type="dxa"/>
          </w:tcPr>
          <w:p w14:paraId="3DECB8A7" w14:textId="77777777" w:rsidR="00A76F38" w:rsidRPr="00A76F38" w:rsidRDefault="00A76F38" w:rsidP="00A76F38">
            <w:pPr>
              <w:jc w:val="center"/>
              <w:rPr>
                <w:rFonts w:ascii="Calibri" w:eastAsia="Calibri" w:hAnsi="Calibri"/>
                <w:lang w:val="en-GB"/>
              </w:rPr>
            </w:pPr>
            <w:r w:rsidRPr="00A76F38">
              <w:rPr>
                <w:rFonts w:ascii="Calibri" w:eastAsia="Calibri" w:hAnsi="Calibri"/>
                <w:lang w:val="en-GB"/>
              </w:rPr>
              <w:t>10</w:t>
            </w:r>
          </w:p>
        </w:tc>
      </w:tr>
    </w:tbl>
    <w:p w14:paraId="3A2D391D" w14:textId="77777777" w:rsidR="00945DB7" w:rsidRPr="0029472B" w:rsidRDefault="00945DB7" w:rsidP="0029472B">
      <w:pPr>
        <w:rPr>
          <w:b/>
        </w:rPr>
      </w:pPr>
      <w:bookmarkStart w:id="29" w:name="_Toc398158305"/>
    </w:p>
    <w:p w14:paraId="73F4F05D" w14:textId="1EB1C3FD" w:rsidR="00945DB7" w:rsidRDefault="00F8416F" w:rsidP="00945DB7">
      <w:pPr>
        <w:pStyle w:val="ListParagraph"/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Automate the pipetting of master mix and sample into each reaction well (384-well plate) using QIAgility </w:t>
      </w:r>
      <w:r w:rsidR="00945DB7" w:rsidRPr="00945DB7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describe from step 4.5.1. </w:t>
      </w:r>
      <w:bookmarkEnd w:id="29"/>
      <w:r>
        <w:rPr>
          <w:rFonts w:ascii="Arial" w:hAnsi="Arial" w:cs="Arial"/>
          <w:sz w:val="24"/>
          <w:szCs w:val="24"/>
        </w:rPr>
        <w:t>The final reaction of the assay is shown in the table 2</w:t>
      </w:r>
    </w:p>
    <w:p w14:paraId="7A62011F" w14:textId="0EB19946" w:rsidR="00A76F38" w:rsidRDefault="00A76F38" w:rsidP="00A76F38">
      <w:pPr>
        <w:pStyle w:val="Caption"/>
        <w:keepNext/>
        <w:ind w:firstLine="810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21694">
        <w:rPr>
          <w:noProof/>
        </w:rPr>
        <w:t>2</w:t>
      </w:r>
      <w:r>
        <w:fldChar w:fldCharType="end"/>
      </w:r>
      <w:r>
        <w:t>. Reaction mix</w:t>
      </w:r>
    </w:p>
    <w:tbl>
      <w:tblPr>
        <w:tblStyle w:val="TableGrid3"/>
        <w:tblW w:w="0" w:type="auto"/>
        <w:tblInd w:w="805" w:type="dxa"/>
        <w:tblLook w:val="04A0" w:firstRow="1" w:lastRow="0" w:firstColumn="1" w:lastColumn="0" w:noHBand="0" w:noVBand="1"/>
      </w:tblPr>
      <w:tblGrid>
        <w:gridCol w:w="3116"/>
        <w:gridCol w:w="1699"/>
      </w:tblGrid>
      <w:tr w:rsidR="00A76F38" w:rsidRPr="00A76F38" w14:paraId="27591010" w14:textId="77777777" w:rsidTr="00921694">
        <w:tc>
          <w:tcPr>
            <w:tcW w:w="3116" w:type="dxa"/>
            <w:shd w:val="clear" w:color="auto" w:fill="95B3D7" w:themeFill="accent1" w:themeFillTint="99"/>
          </w:tcPr>
          <w:p w14:paraId="050E621C" w14:textId="77777777" w:rsidR="00A76F38" w:rsidRPr="00A76F38" w:rsidRDefault="00A76F38" w:rsidP="00A76F38">
            <w:pPr>
              <w:rPr>
                <w:rFonts w:ascii="Calibri" w:eastAsia="Calibri" w:hAnsi="Calibri"/>
                <w:lang w:val="en-GB"/>
              </w:rPr>
            </w:pPr>
            <w:r w:rsidRPr="00A76F38">
              <w:rPr>
                <w:rFonts w:ascii="Calibri" w:eastAsia="Calibri" w:hAnsi="Calibri"/>
                <w:lang w:val="en-GB"/>
              </w:rPr>
              <w:t>Components</w:t>
            </w:r>
          </w:p>
        </w:tc>
        <w:tc>
          <w:tcPr>
            <w:tcW w:w="1699" w:type="dxa"/>
            <w:shd w:val="clear" w:color="auto" w:fill="95B3D7" w:themeFill="accent1" w:themeFillTint="99"/>
          </w:tcPr>
          <w:p w14:paraId="13D6827F" w14:textId="77777777" w:rsidR="00A76F38" w:rsidRPr="00A76F38" w:rsidRDefault="00A76F38" w:rsidP="00A76F38">
            <w:pPr>
              <w:rPr>
                <w:rFonts w:ascii="Calibri" w:eastAsia="Calibri" w:hAnsi="Calibri"/>
                <w:lang w:val="en-GB"/>
              </w:rPr>
            </w:pPr>
            <w:r w:rsidRPr="00A76F38">
              <w:rPr>
                <w:rFonts w:ascii="Calibri" w:eastAsia="Calibri" w:hAnsi="Calibri"/>
                <w:lang w:val="en-GB"/>
              </w:rPr>
              <w:t>Per reaction (</w:t>
            </w:r>
            <w:r w:rsidRPr="00A76F38">
              <w:rPr>
                <w:rFonts w:ascii="Calibri" w:eastAsia="Calibri" w:hAnsi="Calibri" w:cs="Calibri"/>
                <w:lang w:val="en-GB"/>
              </w:rPr>
              <w:t>µ</w:t>
            </w:r>
            <w:r w:rsidRPr="00A76F38">
              <w:rPr>
                <w:rFonts w:ascii="Calibri" w:eastAsia="Calibri" w:hAnsi="Calibri"/>
                <w:lang w:val="en-GB"/>
              </w:rPr>
              <w:t>l)</w:t>
            </w:r>
          </w:p>
        </w:tc>
      </w:tr>
      <w:tr w:rsidR="00A76F38" w:rsidRPr="00A76F38" w14:paraId="736E473E" w14:textId="77777777" w:rsidTr="00A76F38">
        <w:tc>
          <w:tcPr>
            <w:tcW w:w="3116" w:type="dxa"/>
          </w:tcPr>
          <w:p w14:paraId="1ECA0C0F" w14:textId="77777777" w:rsidR="00A76F38" w:rsidRPr="00A76F38" w:rsidRDefault="00A76F38" w:rsidP="00A76F38">
            <w:pPr>
              <w:rPr>
                <w:rFonts w:ascii="Calibri" w:eastAsia="Calibri" w:hAnsi="Calibri"/>
                <w:lang w:val="en-GB"/>
              </w:rPr>
            </w:pPr>
            <w:r w:rsidRPr="00A76F38">
              <w:rPr>
                <w:rFonts w:ascii="Calibri" w:eastAsia="Calibri" w:hAnsi="Calibri"/>
                <w:lang w:val="en-GB"/>
              </w:rPr>
              <w:t>Master mix</w:t>
            </w:r>
          </w:p>
        </w:tc>
        <w:tc>
          <w:tcPr>
            <w:tcW w:w="1699" w:type="dxa"/>
          </w:tcPr>
          <w:p w14:paraId="483D518C" w14:textId="77777777" w:rsidR="00A76F38" w:rsidRPr="00A76F38" w:rsidRDefault="00A76F38" w:rsidP="00A76F38">
            <w:pPr>
              <w:jc w:val="center"/>
              <w:rPr>
                <w:rFonts w:ascii="Calibri" w:eastAsia="Calibri" w:hAnsi="Calibri"/>
                <w:lang w:val="en-GB"/>
              </w:rPr>
            </w:pPr>
            <w:r w:rsidRPr="00A76F38">
              <w:rPr>
                <w:rFonts w:ascii="Calibri" w:eastAsia="Calibri" w:hAnsi="Calibri"/>
                <w:lang w:val="en-GB"/>
              </w:rPr>
              <w:t>10</w:t>
            </w:r>
          </w:p>
        </w:tc>
      </w:tr>
      <w:tr w:rsidR="00A76F38" w:rsidRPr="00A76F38" w14:paraId="39408B1A" w14:textId="77777777" w:rsidTr="00A76F38">
        <w:tc>
          <w:tcPr>
            <w:tcW w:w="3116" w:type="dxa"/>
          </w:tcPr>
          <w:p w14:paraId="68AFF820" w14:textId="49EB1431" w:rsidR="00A76F38" w:rsidRPr="00A76F38" w:rsidRDefault="00A76F38" w:rsidP="00A76F38">
            <w:pPr>
              <w:rPr>
                <w:rFonts w:ascii="Calibri" w:eastAsia="Calibri" w:hAnsi="Calibri"/>
                <w:lang w:val="en-GB"/>
              </w:rPr>
            </w:pPr>
            <w:r w:rsidRPr="00A76F38">
              <w:rPr>
                <w:rFonts w:ascii="Calibri" w:eastAsia="Calibri" w:hAnsi="Calibri"/>
                <w:lang w:val="en-GB"/>
              </w:rPr>
              <w:t xml:space="preserve">Sample </w:t>
            </w:r>
            <w:r w:rsidR="00E4103B">
              <w:rPr>
                <w:rFonts w:ascii="Calibri" w:eastAsia="Calibri" w:hAnsi="Calibri"/>
                <w:lang w:val="en-GB"/>
              </w:rPr>
              <w:t xml:space="preserve">or </w:t>
            </w:r>
            <w:r w:rsidR="00467011">
              <w:rPr>
                <w:rFonts w:ascii="Calibri" w:eastAsia="Calibri" w:hAnsi="Calibri"/>
                <w:lang w:val="en-GB"/>
              </w:rPr>
              <w:t>Positive control</w:t>
            </w:r>
          </w:p>
        </w:tc>
        <w:tc>
          <w:tcPr>
            <w:tcW w:w="1699" w:type="dxa"/>
          </w:tcPr>
          <w:p w14:paraId="41CEE553" w14:textId="01D662C6" w:rsidR="00A76F38" w:rsidRPr="00A76F38" w:rsidRDefault="00E4103B" w:rsidP="00A76F38">
            <w:pPr>
              <w:jc w:val="center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5</w:t>
            </w:r>
          </w:p>
        </w:tc>
      </w:tr>
      <w:tr w:rsidR="00A76F38" w:rsidRPr="00A76F38" w14:paraId="60F76E27" w14:textId="77777777" w:rsidTr="00A76F38">
        <w:tc>
          <w:tcPr>
            <w:tcW w:w="3116" w:type="dxa"/>
          </w:tcPr>
          <w:p w14:paraId="7C253823" w14:textId="77777777" w:rsidR="00A76F38" w:rsidRPr="00A76F38" w:rsidRDefault="00A76F38" w:rsidP="00A76F38">
            <w:pPr>
              <w:rPr>
                <w:rFonts w:ascii="Calibri" w:eastAsia="Calibri" w:hAnsi="Calibri"/>
                <w:lang w:val="en-GB"/>
              </w:rPr>
            </w:pPr>
            <w:r w:rsidRPr="00A76F38">
              <w:rPr>
                <w:rFonts w:ascii="Calibri" w:eastAsia="Calibri" w:hAnsi="Calibri"/>
                <w:lang w:val="en-GB"/>
              </w:rPr>
              <w:t>Total reaction volume</w:t>
            </w:r>
          </w:p>
        </w:tc>
        <w:tc>
          <w:tcPr>
            <w:tcW w:w="1699" w:type="dxa"/>
          </w:tcPr>
          <w:p w14:paraId="3AE792CC" w14:textId="18E340FC" w:rsidR="00A76F38" w:rsidRPr="00A76F38" w:rsidRDefault="00E4103B" w:rsidP="00A76F38">
            <w:pPr>
              <w:jc w:val="center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15</w:t>
            </w:r>
          </w:p>
        </w:tc>
      </w:tr>
    </w:tbl>
    <w:p w14:paraId="0C902EEB" w14:textId="77777777" w:rsidR="00945DB7" w:rsidRDefault="00945DB7" w:rsidP="00945DB7"/>
    <w:p w14:paraId="4FB1E577" w14:textId="53F3E486" w:rsidR="006E4D61" w:rsidRPr="00697F7C" w:rsidRDefault="00945DB7" w:rsidP="006E4D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45DB7">
        <w:rPr>
          <w:rFonts w:ascii="Arial" w:hAnsi="Arial" w:cs="Arial"/>
          <w:sz w:val="24"/>
          <w:szCs w:val="24"/>
        </w:rPr>
        <w:t xml:space="preserve">Seal and centrifuge the plate at 1600xg for </w:t>
      </w:r>
      <w:r w:rsidR="00F8416F">
        <w:rPr>
          <w:rFonts w:ascii="Arial" w:hAnsi="Arial" w:cs="Arial"/>
          <w:sz w:val="24"/>
          <w:szCs w:val="24"/>
        </w:rPr>
        <w:t>1 minute</w:t>
      </w:r>
      <w:r w:rsidRPr="00945DB7">
        <w:rPr>
          <w:rFonts w:ascii="Arial" w:hAnsi="Arial" w:cs="Arial"/>
          <w:sz w:val="24"/>
          <w:szCs w:val="24"/>
        </w:rPr>
        <w:t>.</w:t>
      </w:r>
    </w:p>
    <w:p w14:paraId="7DDC25FB" w14:textId="5BB02329" w:rsidR="00DE3392" w:rsidRDefault="00945DB7" w:rsidP="00945DB7">
      <w:pPr>
        <w:pStyle w:val="Heading3"/>
        <w:rPr>
          <w:lang w:val="en-US"/>
        </w:rPr>
      </w:pPr>
      <w:bookmarkStart w:id="30" w:name="_Toc383157610"/>
      <w:bookmarkStart w:id="31" w:name="_Toc253756637"/>
      <w:bookmarkStart w:id="32" w:name="_Toc377652831"/>
      <w:bookmarkStart w:id="33" w:name="_Toc36489728"/>
      <w:bookmarkEnd w:id="19"/>
      <w:r>
        <w:rPr>
          <w:lang w:val="en-US"/>
        </w:rPr>
        <w:t>Amplification conditions</w:t>
      </w:r>
      <w:bookmarkEnd w:id="30"/>
      <w:bookmarkEnd w:id="31"/>
      <w:bookmarkEnd w:id="32"/>
      <w:bookmarkEnd w:id="33"/>
    </w:p>
    <w:p w14:paraId="350356B4" w14:textId="4E92C597" w:rsidR="00945DB7" w:rsidRPr="00945DB7" w:rsidRDefault="00945DB7" w:rsidP="00945DB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45DB7">
        <w:rPr>
          <w:rFonts w:ascii="Arial" w:hAnsi="Arial" w:cs="Arial"/>
          <w:sz w:val="24"/>
          <w:szCs w:val="24"/>
        </w:rPr>
        <w:t>Load reaction plate onto the</w:t>
      </w:r>
      <w:r w:rsidR="006E4D61">
        <w:rPr>
          <w:rFonts w:ascii="Arial" w:hAnsi="Arial" w:cs="Arial"/>
          <w:sz w:val="24"/>
          <w:szCs w:val="24"/>
        </w:rPr>
        <w:t xml:space="preserve"> LightCycler® 480 Instrument II.</w:t>
      </w:r>
    </w:p>
    <w:p w14:paraId="5C21F475" w14:textId="09D0CBC7" w:rsidR="00945DB7" w:rsidRDefault="00945DB7" w:rsidP="00945DB7">
      <w:pPr>
        <w:pStyle w:val="ListParagraph"/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945DB7">
        <w:rPr>
          <w:rFonts w:ascii="Arial" w:hAnsi="Arial" w:cs="Arial"/>
          <w:sz w:val="24"/>
          <w:szCs w:val="24"/>
        </w:rPr>
        <w:t xml:space="preserve">Create the thermal cycling conditions specified in the </w:t>
      </w:r>
      <w:r w:rsidR="000D393B">
        <w:rPr>
          <w:rFonts w:ascii="Arial" w:hAnsi="Arial" w:cs="Arial"/>
          <w:sz w:val="24"/>
          <w:szCs w:val="24"/>
        </w:rPr>
        <w:t>table 3</w:t>
      </w:r>
    </w:p>
    <w:p w14:paraId="379E4F5A" w14:textId="1B691E0E" w:rsidR="00A76F38" w:rsidRDefault="00A76F38" w:rsidP="00A76F38">
      <w:pPr>
        <w:pStyle w:val="Caption"/>
        <w:keepNext/>
        <w:ind w:firstLine="810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21694">
        <w:rPr>
          <w:noProof/>
        </w:rPr>
        <w:t>3</w:t>
      </w:r>
      <w:r>
        <w:fldChar w:fldCharType="end"/>
      </w:r>
      <w:r>
        <w:t>. Thermal Profile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008"/>
        <w:gridCol w:w="1925"/>
        <w:gridCol w:w="2408"/>
      </w:tblGrid>
      <w:tr w:rsidR="003A3FB5" w:rsidRPr="003A3FB5" w14:paraId="131BAA11" w14:textId="77777777" w:rsidTr="00921694">
        <w:trPr>
          <w:trHeight w:val="250"/>
          <w:jc w:val="center"/>
        </w:trPr>
        <w:tc>
          <w:tcPr>
            <w:tcW w:w="3008" w:type="dxa"/>
            <w:shd w:val="clear" w:color="auto" w:fill="95B3D7" w:themeFill="accent1" w:themeFillTint="99"/>
          </w:tcPr>
          <w:p w14:paraId="5BCB645A" w14:textId="77777777" w:rsidR="003A3FB5" w:rsidRPr="003A3FB5" w:rsidRDefault="003A3FB5" w:rsidP="003A3FB5">
            <w:pPr>
              <w:rPr>
                <w:rFonts w:ascii="Calibri" w:eastAsia="Calibri" w:hAnsi="Calibri"/>
                <w:b/>
                <w:bCs/>
                <w:lang w:val="en-GB"/>
              </w:rPr>
            </w:pPr>
            <w:r w:rsidRPr="003A3FB5">
              <w:rPr>
                <w:rFonts w:ascii="Calibri" w:eastAsia="Calibri" w:hAnsi="Calibri"/>
                <w:b/>
                <w:bCs/>
                <w:lang w:val="en-GB"/>
              </w:rPr>
              <w:t>Steps</w:t>
            </w:r>
          </w:p>
        </w:tc>
        <w:tc>
          <w:tcPr>
            <w:tcW w:w="1925" w:type="dxa"/>
            <w:shd w:val="clear" w:color="auto" w:fill="95B3D7" w:themeFill="accent1" w:themeFillTint="99"/>
          </w:tcPr>
          <w:p w14:paraId="24D5A8BD" w14:textId="77777777" w:rsidR="003A3FB5" w:rsidRPr="003A3FB5" w:rsidRDefault="003A3FB5" w:rsidP="003A3FB5">
            <w:pPr>
              <w:rPr>
                <w:rFonts w:ascii="Calibri" w:eastAsia="Calibri" w:hAnsi="Calibri"/>
                <w:b/>
                <w:bCs/>
                <w:lang w:val="en-GB"/>
              </w:rPr>
            </w:pPr>
            <w:r w:rsidRPr="003A3FB5">
              <w:rPr>
                <w:rFonts w:ascii="Calibri" w:eastAsia="Calibri" w:hAnsi="Calibri"/>
                <w:b/>
                <w:bCs/>
                <w:lang w:val="en-GB"/>
              </w:rPr>
              <w:t>Temperature (</w:t>
            </w:r>
            <w:r w:rsidRPr="003A3FB5">
              <w:rPr>
                <w:rFonts w:ascii="Calibri" w:eastAsia="Calibri" w:hAnsi="Calibri" w:cs="Calibri"/>
                <w:b/>
                <w:bCs/>
                <w:lang w:val="en-GB"/>
              </w:rPr>
              <w:t>°</w:t>
            </w:r>
            <w:r w:rsidRPr="003A3FB5">
              <w:rPr>
                <w:rFonts w:ascii="Calibri" w:eastAsia="Calibri" w:hAnsi="Calibri"/>
                <w:b/>
                <w:bCs/>
                <w:lang w:val="en-GB"/>
              </w:rPr>
              <w:t>C)</w:t>
            </w:r>
          </w:p>
        </w:tc>
        <w:tc>
          <w:tcPr>
            <w:tcW w:w="2408" w:type="dxa"/>
            <w:shd w:val="clear" w:color="auto" w:fill="95B3D7" w:themeFill="accent1" w:themeFillTint="99"/>
          </w:tcPr>
          <w:p w14:paraId="33B71E8C" w14:textId="77777777" w:rsidR="003A3FB5" w:rsidRPr="003A3FB5" w:rsidRDefault="003A3FB5" w:rsidP="003A3FB5">
            <w:pPr>
              <w:rPr>
                <w:rFonts w:ascii="Calibri" w:eastAsia="Calibri" w:hAnsi="Calibri"/>
                <w:b/>
                <w:bCs/>
                <w:lang w:val="en-GB"/>
              </w:rPr>
            </w:pPr>
            <w:r w:rsidRPr="003A3FB5">
              <w:rPr>
                <w:rFonts w:ascii="Calibri" w:eastAsia="Calibri" w:hAnsi="Calibri"/>
                <w:b/>
                <w:bCs/>
                <w:lang w:val="en-GB"/>
              </w:rPr>
              <w:t>Time (min:sec)</w:t>
            </w:r>
          </w:p>
        </w:tc>
      </w:tr>
      <w:tr w:rsidR="003A3FB5" w:rsidRPr="003A3FB5" w14:paraId="1A7AFC12" w14:textId="77777777" w:rsidTr="003A3FB5">
        <w:trPr>
          <w:trHeight w:val="250"/>
          <w:jc w:val="center"/>
        </w:trPr>
        <w:tc>
          <w:tcPr>
            <w:tcW w:w="3008" w:type="dxa"/>
          </w:tcPr>
          <w:p w14:paraId="27581369" w14:textId="77777777" w:rsidR="003A3FB5" w:rsidRPr="003A3FB5" w:rsidRDefault="003A3FB5" w:rsidP="003A3FB5">
            <w:pPr>
              <w:rPr>
                <w:rFonts w:ascii="Calibri" w:eastAsia="Calibri" w:hAnsi="Calibri"/>
                <w:lang w:val="en-GB"/>
              </w:rPr>
            </w:pPr>
            <w:r w:rsidRPr="003A3FB5">
              <w:rPr>
                <w:rFonts w:ascii="Calibri" w:eastAsia="Calibri" w:hAnsi="Calibri"/>
                <w:lang w:val="en-GB"/>
              </w:rPr>
              <w:t>Reverse transcription</w:t>
            </w:r>
          </w:p>
        </w:tc>
        <w:tc>
          <w:tcPr>
            <w:tcW w:w="1925" w:type="dxa"/>
          </w:tcPr>
          <w:p w14:paraId="78ED76B0" w14:textId="77777777" w:rsidR="003A3FB5" w:rsidRPr="003A3FB5" w:rsidRDefault="003A3FB5" w:rsidP="003A3FB5">
            <w:pPr>
              <w:jc w:val="center"/>
              <w:rPr>
                <w:rFonts w:ascii="Calibri" w:eastAsia="Calibri" w:hAnsi="Calibri"/>
                <w:lang w:val="en-GB"/>
              </w:rPr>
            </w:pPr>
            <w:r w:rsidRPr="003A3FB5">
              <w:rPr>
                <w:rFonts w:ascii="Calibri" w:eastAsia="Calibri" w:hAnsi="Calibri"/>
                <w:lang w:val="en-GB"/>
              </w:rPr>
              <w:t>55</w:t>
            </w:r>
          </w:p>
        </w:tc>
        <w:tc>
          <w:tcPr>
            <w:tcW w:w="2408" w:type="dxa"/>
          </w:tcPr>
          <w:p w14:paraId="48EF2C15" w14:textId="77777777" w:rsidR="003A3FB5" w:rsidRPr="003A3FB5" w:rsidRDefault="003A3FB5" w:rsidP="003A3FB5">
            <w:pPr>
              <w:rPr>
                <w:rFonts w:ascii="Calibri" w:eastAsia="Calibri" w:hAnsi="Calibri"/>
                <w:lang w:val="en-GB"/>
              </w:rPr>
            </w:pPr>
            <w:r w:rsidRPr="003A3FB5">
              <w:rPr>
                <w:rFonts w:ascii="Calibri" w:eastAsia="Calibri" w:hAnsi="Calibri"/>
                <w:lang w:val="en-GB"/>
              </w:rPr>
              <w:t>20:00</w:t>
            </w:r>
          </w:p>
        </w:tc>
      </w:tr>
      <w:tr w:rsidR="003A3FB5" w:rsidRPr="003A3FB5" w14:paraId="59F27E7D" w14:textId="77777777" w:rsidTr="003A3FB5">
        <w:trPr>
          <w:trHeight w:val="262"/>
          <w:jc w:val="center"/>
        </w:trPr>
        <w:tc>
          <w:tcPr>
            <w:tcW w:w="3008" w:type="dxa"/>
          </w:tcPr>
          <w:p w14:paraId="7B24FB3A" w14:textId="77777777" w:rsidR="003A3FB5" w:rsidRPr="003A3FB5" w:rsidRDefault="003A3FB5" w:rsidP="003A3FB5">
            <w:pPr>
              <w:rPr>
                <w:rFonts w:ascii="Calibri" w:eastAsia="Calibri" w:hAnsi="Calibri"/>
                <w:lang w:val="en-GB"/>
              </w:rPr>
            </w:pPr>
            <w:r w:rsidRPr="003A3FB5">
              <w:rPr>
                <w:rFonts w:ascii="Calibri" w:eastAsia="Calibri" w:hAnsi="Calibri"/>
                <w:lang w:val="en-GB"/>
              </w:rPr>
              <w:t>Denaturation</w:t>
            </w:r>
          </w:p>
        </w:tc>
        <w:tc>
          <w:tcPr>
            <w:tcW w:w="1925" w:type="dxa"/>
          </w:tcPr>
          <w:p w14:paraId="54C6E538" w14:textId="77777777" w:rsidR="003A3FB5" w:rsidRPr="003A3FB5" w:rsidRDefault="003A3FB5" w:rsidP="003A3FB5">
            <w:pPr>
              <w:jc w:val="center"/>
              <w:rPr>
                <w:rFonts w:ascii="Calibri" w:eastAsia="Calibri" w:hAnsi="Calibri"/>
                <w:lang w:val="en-GB"/>
              </w:rPr>
            </w:pPr>
            <w:r w:rsidRPr="003A3FB5">
              <w:rPr>
                <w:rFonts w:ascii="Calibri" w:eastAsia="Calibri" w:hAnsi="Calibri"/>
                <w:lang w:val="en-GB"/>
              </w:rPr>
              <w:t>95</w:t>
            </w:r>
          </w:p>
        </w:tc>
        <w:tc>
          <w:tcPr>
            <w:tcW w:w="2408" w:type="dxa"/>
          </w:tcPr>
          <w:p w14:paraId="6D5466A3" w14:textId="77777777" w:rsidR="003A3FB5" w:rsidRPr="003A3FB5" w:rsidRDefault="003A3FB5" w:rsidP="003A3FB5">
            <w:pPr>
              <w:rPr>
                <w:rFonts w:ascii="Calibri" w:eastAsia="Calibri" w:hAnsi="Calibri"/>
                <w:lang w:val="en-GB"/>
              </w:rPr>
            </w:pPr>
            <w:r w:rsidRPr="003A3FB5">
              <w:rPr>
                <w:rFonts w:ascii="Calibri" w:eastAsia="Calibri" w:hAnsi="Calibri"/>
                <w:lang w:val="en-GB"/>
              </w:rPr>
              <w:t>02:00</w:t>
            </w:r>
          </w:p>
        </w:tc>
      </w:tr>
      <w:tr w:rsidR="003A3FB5" w:rsidRPr="003A3FB5" w14:paraId="59959C2E" w14:textId="77777777" w:rsidTr="003A3FB5">
        <w:trPr>
          <w:trHeight w:val="250"/>
          <w:jc w:val="center"/>
        </w:trPr>
        <w:tc>
          <w:tcPr>
            <w:tcW w:w="3008" w:type="dxa"/>
            <w:vMerge w:val="restart"/>
            <w:vAlign w:val="center"/>
          </w:tcPr>
          <w:p w14:paraId="46EB643E" w14:textId="77777777" w:rsidR="003A3FB5" w:rsidRPr="003A3FB5" w:rsidRDefault="003A3FB5" w:rsidP="003A3FB5">
            <w:pPr>
              <w:rPr>
                <w:rFonts w:ascii="Calibri" w:eastAsia="Calibri" w:hAnsi="Calibri"/>
                <w:lang w:val="en-GB"/>
              </w:rPr>
            </w:pPr>
            <w:r w:rsidRPr="003A3FB5">
              <w:rPr>
                <w:rFonts w:ascii="Calibri" w:eastAsia="Calibri" w:hAnsi="Calibri"/>
                <w:lang w:val="en-GB"/>
              </w:rPr>
              <w:t xml:space="preserve">Amplification and Cycling (45X) </w:t>
            </w:r>
          </w:p>
        </w:tc>
        <w:tc>
          <w:tcPr>
            <w:tcW w:w="1925" w:type="dxa"/>
          </w:tcPr>
          <w:p w14:paraId="4F716867" w14:textId="77777777" w:rsidR="003A3FB5" w:rsidRPr="003A3FB5" w:rsidRDefault="003A3FB5" w:rsidP="003A3FB5">
            <w:pPr>
              <w:jc w:val="center"/>
              <w:rPr>
                <w:rFonts w:ascii="Calibri" w:eastAsia="Calibri" w:hAnsi="Calibri"/>
                <w:lang w:val="en-GB"/>
              </w:rPr>
            </w:pPr>
            <w:r w:rsidRPr="003A3FB5">
              <w:rPr>
                <w:rFonts w:ascii="Calibri" w:eastAsia="Calibri" w:hAnsi="Calibri"/>
                <w:lang w:val="en-GB"/>
              </w:rPr>
              <w:t>95</w:t>
            </w:r>
          </w:p>
        </w:tc>
        <w:tc>
          <w:tcPr>
            <w:tcW w:w="2408" w:type="dxa"/>
          </w:tcPr>
          <w:p w14:paraId="4CBF1501" w14:textId="77777777" w:rsidR="003A3FB5" w:rsidRPr="003A3FB5" w:rsidRDefault="003A3FB5" w:rsidP="003A3FB5">
            <w:pPr>
              <w:rPr>
                <w:rFonts w:ascii="Calibri" w:eastAsia="Calibri" w:hAnsi="Calibri"/>
                <w:lang w:val="en-GB"/>
              </w:rPr>
            </w:pPr>
            <w:r w:rsidRPr="003A3FB5">
              <w:rPr>
                <w:rFonts w:ascii="Calibri" w:eastAsia="Calibri" w:hAnsi="Calibri"/>
                <w:lang w:val="en-GB"/>
              </w:rPr>
              <w:t>00:15</w:t>
            </w:r>
          </w:p>
        </w:tc>
      </w:tr>
      <w:tr w:rsidR="003A3FB5" w:rsidRPr="003A3FB5" w14:paraId="5BC0786D" w14:textId="77777777" w:rsidTr="003A3FB5">
        <w:trPr>
          <w:trHeight w:val="262"/>
          <w:jc w:val="center"/>
        </w:trPr>
        <w:tc>
          <w:tcPr>
            <w:tcW w:w="3008" w:type="dxa"/>
            <w:vMerge/>
          </w:tcPr>
          <w:p w14:paraId="5B95823A" w14:textId="77777777" w:rsidR="003A3FB5" w:rsidRPr="003A3FB5" w:rsidRDefault="003A3FB5" w:rsidP="003A3FB5">
            <w:pPr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1925" w:type="dxa"/>
          </w:tcPr>
          <w:p w14:paraId="11B1CC08" w14:textId="77777777" w:rsidR="003A3FB5" w:rsidRPr="003A3FB5" w:rsidRDefault="003A3FB5" w:rsidP="003A3FB5">
            <w:pPr>
              <w:jc w:val="center"/>
              <w:rPr>
                <w:rFonts w:ascii="Calibri" w:eastAsia="Calibri" w:hAnsi="Calibri"/>
                <w:lang w:val="en-GB"/>
              </w:rPr>
            </w:pPr>
            <w:r w:rsidRPr="003A3FB5">
              <w:rPr>
                <w:rFonts w:ascii="Calibri" w:eastAsia="Calibri" w:hAnsi="Calibri"/>
                <w:lang w:val="en-GB"/>
              </w:rPr>
              <w:t>55</w:t>
            </w:r>
          </w:p>
        </w:tc>
        <w:tc>
          <w:tcPr>
            <w:tcW w:w="2408" w:type="dxa"/>
          </w:tcPr>
          <w:p w14:paraId="6CED0407" w14:textId="77777777" w:rsidR="003A3FB5" w:rsidRPr="003A3FB5" w:rsidRDefault="003A3FB5" w:rsidP="003A3FB5">
            <w:pPr>
              <w:rPr>
                <w:rFonts w:ascii="Calibri" w:eastAsia="Calibri" w:hAnsi="Calibri"/>
                <w:lang w:val="en-GB"/>
              </w:rPr>
            </w:pPr>
            <w:r w:rsidRPr="003A3FB5">
              <w:rPr>
                <w:rFonts w:ascii="Calibri" w:eastAsia="Calibri" w:hAnsi="Calibri"/>
                <w:lang w:val="en-GB"/>
              </w:rPr>
              <w:t>00:45</w:t>
            </w:r>
          </w:p>
        </w:tc>
      </w:tr>
      <w:tr w:rsidR="003A3FB5" w:rsidRPr="003A3FB5" w14:paraId="7BECF8AC" w14:textId="77777777" w:rsidTr="003A3FB5">
        <w:trPr>
          <w:trHeight w:val="262"/>
          <w:jc w:val="center"/>
        </w:trPr>
        <w:tc>
          <w:tcPr>
            <w:tcW w:w="3008" w:type="dxa"/>
            <w:vMerge/>
          </w:tcPr>
          <w:p w14:paraId="01D8DF6B" w14:textId="77777777" w:rsidR="003A3FB5" w:rsidRPr="003A3FB5" w:rsidRDefault="003A3FB5" w:rsidP="003A3FB5">
            <w:pPr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1925" w:type="dxa"/>
          </w:tcPr>
          <w:p w14:paraId="77FFBBF9" w14:textId="77777777" w:rsidR="003A3FB5" w:rsidRPr="003A3FB5" w:rsidRDefault="003A3FB5" w:rsidP="003A3FB5">
            <w:pPr>
              <w:jc w:val="center"/>
              <w:rPr>
                <w:rFonts w:ascii="Calibri" w:eastAsia="Calibri" w:hAnsi="Calibri"/>
                <w:lang w:val="en-GB"/>
              </w:rPr>
            </w:pPr>
            <w:r w:rsidRPr="003A3FB5">
              <w:rPr>
                <w:rFonts w:ascii="Calibri" w:eastAsia="Calibri" w:hAnsi="Calibri"/>
                <w:lang w:val="en-GB"/>
              </w:rPr>
              <w:t>72</w:t>
            </w:r>
          </w:p>
        </w:tc>
        <w:tc>
          <w:tcPr>
            <w:tcW w:w="2408" w:type="dxa"/>
          </w:tcPr>
          <w:p w14:paraId="28DB30D4" w14:textId="77777777" w:rsidR="003A3FB5" w:rsidRPr="003A3FB5" w:rsidRDefault="003A3FB5" w:rsidP="003A3FB5">
            <w:pPr>
              <w:rPr>
                <w:rFonts w:ascii="Calibri" w:eastAsia="Calibri" w:hAnsi="Calibri"/>
                <w:lang w:val="en-GB"/>
              </w:rPr>
            </w:pPr>
            <w:r w:rsidRPr="003A3FB5">
              <w:rPr>
                <w:rFonts w:ascii="Calibri" w:eastAsia="Calibri" w:hAnsi="Calibri"/>
                <w:lang w:val="en-GB"/>
              </w:rPr>
              <w:t>00:15</w:t>
            </w:r>
          </w:p>
        </w:tc>
      </w:tr>
      <w:tr w:rsidR="003A3FB5" w:rsidRPr="003A3FB5" w14:paraId="314B5B0E" w14:textId="77777777" w:rsidTr="003A3FB5">
        <w:trPr>
          <w:trHeight w:val="250"/>
          <w:jc w:val="center"/>
        </w:trPr>
        <w:tc>
          <w:tcPr>
            <w:tcW w:w="3008" w:type="dxa"/>
          </w:tcPr>
          <w:p w14:paraId="4D0CDF83" w14:textId="77777777" w:rsidR="003A3FB5" w:rsidRPr="003A3FB5" w:rsidRDefault="003A3FB5" w:rsidP="003A3FB5">
            <w:pPr>
              <w:rPr>
                <w:rFonts w:ascii="Calibri" w:eastAsia="Calibri" w:hAnsi="Calibri"/>
                <w:lang w:val="en-GB"/>
              </w:rPr>
            </w:pPr>
            <w:r w:rsidRPr="003A3FB5">
              <w:rPr>
                <w:rFonts w:ascii="Calibri" w:eastAsia="Calibri" w:hAnsi="Calibri"/>
                <w:lang w:val="en-GB"/>
              </w:rPr>
              <w:t>Cooling</w:t>
            </w:r>
          </w:p>
        </w:tc>
        <w:tc>
          <w:tcPr>
            <w:tcW w:w="1925" w:type="dxa"/>
          </w:tcPr>
          <w:p w14:paraId="01E77657" w14:textId="77777777" w:rsidR="003A3FB5" w:rsidRPr="003A3FB5" w:rsidRDefault="003A3FB5" w:rsidP="003A3FB5">
            <w:pPr>
              <w:jc w:val="center"/>
              <w:rPr>
                <w:rFonts w:ascii="Calibri" w:eastAsia="Calibri" w:hAnsi="Calibri"/>
                <w:lang w:val="en-GB"/>
              </w:rPr>
            </w:pPr>
            <w:r w:rsidRPr="003A3FB5">
              <w:rPr>
                <w:rFonts w:ascii="Calibri" w:eastAsia="Calibri" w:hAnsi="Calibri"/>
                <w:lang w:val="en-GB"/>
              </w:rPr>
              <w:t>48</w:t>
            </w:r>
          </w:p>
        </w:tc>
        <w:tc>
          <w:tcPr>
            <w:tcW w:w="2408" w:type="dxa"/>
          </w:tcPr>
          <w:p w14:paraId="27B3A19A" w14:textId="77777777" w:rsidR="003A3FB5" w:rsidRPr="003A3FB5" w:rsidRDefault="003A3FB5" w:rsidP="003A3FB5">
            <w:pPr>
              <w:rPr>
                <w:rFonts w:ascii="Calibri" w:eastAsia="Calibri" w:hAnsi="Calibri"/>
                <w:lang w:val="en-GB"/>
              </w:rPr>
            </w:pPr>
            <w:r w:rsidRPr="003A3FB5">
              <w:rPr>
                <w:rFonts w:ascii="Calibri" w:eastAsia="Calibri" w:hAnsi="Calibri"/>
                <w:lang w:val="en-GB"/>
              </w:rPr>
              <w:t>00:10</w:t>
            </w:r>
          </w:p>
        </w:tc>
      </w:tr>
    </w:tbl>
    <w:p w14:paraId="5CEBB007" w14:textId="77777777" w:rsidR="00945DB7" w:rsidRDefault="00945DB7" w:rsidP="0029472B"/>
    <w:p w14:paraId="7B8B95EB" w14:textId="08C7AB54" w:rsidR="00945DB7" w:rsidRDefault="00945DB7" w:rsidP="00697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45DB7">
        <w:rPr>
          <w:rFonts w:ascii="Arial" w:hAnsi="Arial" w:cs="Arial"/>
          <w:sz w:val="24"/>
          <w:szCs w:val="24"/>
        </w:rPr>
        <w:t>Before clicking “Start Run” make sure to select the right filter settings for acquiring signal</w:t>
      </w:r>
      <w:r w:rsidR="0029472B">
        <w:rPr>
          <w:rFonts w:ascii="Arial" w:hAnsi="Arial" w:cs="Arial"/>
          <w:sz w:val="24"/>
          <w:szCs w:val="24"/>
        </w:rPr>
        <w:t>s</w:t>
      </w:r>
      <w:r w:rsidRPr="00945DB7">
        <w:rPr>
          <w:rFonts w:ascii="Arial" w:hAnsi="Arial" w:cs="Arial"/>
          <w:sz w:val="24"/>
          <w:szCs w:val="24"/>
        </w:rPr>
        <w:t xml:space="preserve">. </w:t>
      </w:r>
      <w:r w:rsidR="00697F7C">
        <w:rPr>
          <w:rFonts w:ascii="Arial" w:hAnsi="Arial" w:cs="Arial"/>
          <w:sz w:val="24"/>
          <w:szCs w:val="24"/>
        </w:rPr>
        <w:t xml:space="preserve">Define </w:t>
      </w:r>
      <w:r w:rsidR="00697F7C" w:rsidRPr="00697F7C">
        <w:rPr>
          <w:rFonts w:ascii="Arial" w:hAnsi="Arial" w:cs="Arial"/>
          <w:sz w:val="24"/>
          <w:szCs w:val="24"/>
        </w:rPr>
        <w:t>the</w:t>
      </w:r>
      <w:r w:rsidR="00697F7C">
        <w:rPr>
          <w:rFonts w:ascii="Arial" w:hAnsi="Arial" w:cs="Arial"/>
          <w:sz w:val="24"/>
          <w:szCs w:val="24"/>
        </w:rPr>
        <w:t xml:space="preserve"> three</w:t>
      </w:r>
      <w:r w:rsidR="00697F7C" w:rsidRPr="00697F7C">
        <w:rPr>
          <w:rFonts w:ascii="Arial" w:hAnsi="Arial" w:cs="Arial"/>
          <w:sz w:val="24"/>
          <w:szCs w:val="24"/>
        </w:rPr>
        <w:t xml:space="preserve"> fluorescence detectors</w:t>
      </w:r>
      <w:r w:rsidR="00697F7C">
        <w:rPr>
          <w:rFonts w:ascii="Arial" w:hAnsi="Arial" w:cs="Arial"/>
          <w:sz w:val="24"/>
          <w:szCs w:val="24"/>
        </w:rPr>
        <w:t xml:space="preserve"> as shown in </w:t>
      </w:r>
      <w:r w:rsidR="000D393B">
        <w:rPr>
          <w:rFonts w:ascii="Arial" w:hAnsi="Arial" w:cs="Arial"/>
          <w:sz w:val="24"/>
          <w:szCs w:val="24"/>
        </w:rPr>
        <w:t>t</w:t>
      </w:r>
      <w:r w:rsidR="00697F7C">
        <w:rPr>
          <w:rFonts w:ascii="Arial" w:hAnsi="Arial" w:cs="Arial"/>
          <w:sz w:val="24"/>
          <w:szCs w:val="24"/>
        </w:rPr>
        <w:t>able 4</w:t>
      </w:r>
    </w:p>
    <w:p w14:paraId="74095841" w14:textId="25B34E5E" w:rsidR="00697F7C" w:rsidRDefault="00697F7C" w:rsidP="00697F7C">
      <w:pPr>
        <w:pStyle w:val="Caption"/>
        <w:keepNext/>
        <w:ind w:firstLine="810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21694">
        <w:rPr>
          <w:noProof/>
        </w:rPr>
        <w:t>4</w:t>
      </w:r>
      <w:r>
        <w:fldChar w:fldCharType="end"/>
      </w:r>
      <w:r>
        <w:t>. Dectection channels</w:t>
      </w:r>
    </w:p>
    <w:tbl>
      <w:tblPr>
        <w:tblStyle w:val="TableGrid4"/>
        <w:tblW w:w="7474" w:type="dxa"/>
        <w:tblInd w:w="809" w:type="dxa"/>
        <w:tblLook w:val="04A0" w:firstRow="1" w:lastRow="0" w:firstColumn="1" w:lastColumn="0" w:noHBand="0" w:noVBand="1"/>
      </w:tblPr>
      <w:tblGrid>
        <w:gridCol w:w="3056"/>
        <w:gridCol w:w="1440"/>
        <w:gridCol w:w="2978"/>
      </w:tblGrid>
      <w:tr w:rsidR="00697F7C" w:rsidRPr="00697F7C" w14:paraId="45C63AB3" w14:textId="77777777" w:rsidTr="00921694">
        <w:trPr>
          <w:trHeight w:val="249"/>
        </w:trPr>
        <w:tc>
          <w:tcPr>
            <w:tcW w:w="3056" w:type="dxa"/>
            <w:shd w:val="clear" w:color="auto" w:fill="95B3D7" w:themeFill="accent1" w:themeFillTint="99"/>
          </w:tcPr>
          <w:p w14:paraId="57F4E5C9" w14:textId="77777777" w:rsidR="00697F7C" w:rsidRPr="00697F7C" w:rsidRDefault="00697F7C" w:rsidP="00697F7C">
            <w:pPr>
              <w:rPr>
                <w:rFonts w:ascii="Calibri" w:eastAsia="Calibri" w:hAnsi="Calibri"/>
                <w:lang w:val="en-GB"/>
              </w:rPr>
            </w:pPr>
            <w:r w:rsidRPr="00697F7C">
              <w:rPr>
                <w:rFonts w:ascii="Calibri" w:eastAsia="Calibri" w:hAnsi="Calibri"/>
                <w:lang w:val="en-GB"/>
              </w:rPr>
              <w:t xml:space="preserve">Target </w:t>
            </w:r>
          </w:p>
        </w:tc>
        <w:tc>
          <w:tcPr>
            <w:tcW w:w="1440" w:type="dxa"/>
            <w:shd w:val="clear" w:color="auto" w:fill="95B3D7" w:themeFill="accent1" w:themeFillTint="99"/>
          </w:tcPr>
          <w:p w14:paraId="69202450" w14:textId="77777777" w:rsidR="00697F7C" w:rsidRPr="00697F7C" w:rsidRDefault="00697F7C" w:rsidP="00697F7C">
            <w:pPr>
              <w:rPr>
                <w:rFonts w:ascii="Calibri" w:eastAsia="Calibri" w:hAnsi="Calibri"/>
                <w:lang w:val="en-GB"/>
              </w:rPr>
            </w:pPr>
            <w:r w:rsidRPr="00697F7C">
              <w:rPr>
                <w:rFonts w:ascii="Calibri" w:eastAsia="Calibri" w:hAnsi="Calibri"/>
                <w:lang w:val="en-GB"/>
              </w:rPr>
              <w:t>Target genes</w:t>
            </w:r>
          </w:p>
        </w:tc>
        <w:tc>
          <w:tcPr>
            <w:tcW w:w="2978" w:type="dxa"/>
            <w:shd w:val="clear" w:color="auto" w:fill="95B3D7" w:themeFill="accent1" w:themeFillTint="99"/>
          </w:tcPr>
          <w:p w14:paraId="111DF82B" w14:textId="77777777" w:rsidR="00697F7C" w:rsidRPr="00697F7C" w:rsidRDefault="00697F7C" w:rsidP="00697F7C">
            <w:pPr>
              <w:rPr>
                <w:rFonts w:ascii="Calibri" w:eastAsia="Calibri" w:hAnsi="Calibri"/>
                <w:lang w:val="en-GB"/>
              </w:rPr>
            </w:pPr>
            <w:r w:rsidRPr="00697F7C">
              <w:rPr>
                <w:rFonts w:ascii="Calibri" w:eastAsia="Calibri" w:hAnsi="Calibri"/>
                <w:lang w:val="en-GB"/>
              </w:rPr>
              <w:t>Reporter dye/channel</w:t>
            </w:r>
          </w:p>
        </w:tc>
      </w:tr>
      <w:tr w:rsidR="00697F7C" w:rsidRPr="00697F7C" w14:paraId="0D46534E" w14:textId="77777777" w:rsidTr="00697F7C">
        <w:trPr>
          <w:trHeight w:val="249"/>
        </w:trPr>
        <w:tc>
          <w:tcPr>
            <w:tcW w:w="3056" w:type="dxa"/>
          </w:tcPr>
          <w:p w14:paraId="60C6BDE4" w14:textId="77777777" w:rsidR="00697F7C" w:rsidRPr="00697F7C" w:rsidRDefault="00697F7C" w:rsidP="00697F7C">
            <w:pPr>
              <w:rPr>
                <w:rFonts w:ascii="Calibri" w:eastAsia="Calibri" w:hAnsi="Calibri"/>
                <w:lang w:val="en-GB"/>
              </w:rPr>
            </w:pPr>
            <w:r w:rsidRPr="00697F7C">
              <w:rPr>
                <w:rFonts w:ascii="Calibri" w:eastAsia="Calibri" w:hAnsi="Calibri"/>
                <w:lang w:val="en-GB"/>
              </w:rPr>
              <w:t>B-</w:t>
            </w:r>
            <w:r w:rsidRPr="00697F7C">
              <w:rPr>
                <w:rFonts w:ascii="Calibri" w:eastAsia="Calibri" w:hAnsi="Calibri" w:cs="Calibri"/>
                <w:lang w:val="en-GB"/>
              </w:rPr>
              <w:t>β</w:t>
            </w:r>
            <w:r w:rsidRPr="00697F7C">
              <w:rPr>
                <w:rFonts w:ascii="Calibri" w:eastAsia="Calibri" w:hAnsi="Calibri"/>
                <w:lang w:val="en-GB"/>
              </w:rPr>
              <w:t>COV specific RNA</w:t>
            </w:r>
          </w:p>
        </w:tc>
        <w:tc>
          <w:tcPr>
            <w:tcW w:w="1440" w:type="dxa"/>
          </w:tcPr>
          <w:p w14:paraId="436FBE00" w14:textId="77777777" w:rsidR="00697F7C" w:rsidRPr="00697F7C" w:rsidRDefault="00697F7C" w:rsidP="00697F7C">
            <w:pPr>
              <w:rPr>
                <w:rFonts w:ascii="Calibri" w:eastAsia="Calibri" w:hAnsi="Calibri"/>
                <w:lang w:val="en-GB"/>
              </w:rPr>
            </w:pPr>
            <w:r w:rsidRPr="00697F7C">
              <w:rPr>
                <w:rFonts w:ascii="Calibri" w:eastAsia="Calibri" w:hAnsi="Calibri"/>
                <w:lang w:val="en-GB"/>
              </w:rPr>
              <w:t>E gene</w:t>
            </w:r>
          </w:p>
        </w:tc>
        <w:tc>
          <w:tcPr>
            <w:tcW w:w="2978" w:type="dxa"/>
          </w:tcPr>
          <w:p w14:paraId="30D8EE9A" w14:textId="77777777" w:rsidR="00697F7C" w:rsidRPr="00697F7C" w:rsidRDefault="00697F7C" w:rsidP="00697F7C">
            <w:pPr>
              <w:rPr>
                <w:rFonts w:ascii="Calibri" w:eastAsia="Calibri" w:hAnsi="Calibri"/>
                <w:lang w:val="en-GB"/>
              </w:rPr>
            </w:pPr>
            <w:r w:rsidRPr="00697F7C">
              <w:rPr>
                <w:rFonts w:ascii="Calibri" w:eastAsia="Calibri" w:hAnsi="Calibri"/>
                <w:lang w:val="en-GB"/>
              </w:rPr>
              <w:t>FAM</w:t>
            </w:r>
          </w:p>
        </w:tc>
      </w:tr>
      <w:tr w:rsidR="00697F7C" w:rsidRPr="00697F7C" w14:paraId="4C588F9E" w14:textId="77777777" w:rsidTr="00697F7C">
        <w:trPr>
          <w:trHeight w:val="260"/>
        </w:trPr>
        <w:tc>
          <w:tcPr>
            <w:tcW w:w="3056" w:type="dxa"/>
          </w:tcPr>
          <w:p w14:paraId="5DF68424" w14:textId="77777777" w:rsidR="00697F7C" w:rsidRPr="00697F7C" w:rsidRDefault="00697F7C" w:rsidP="00697F7C">
            <w:pPr>
              <w:rPr>
                <w:rFonts w:ascii="Calibri" w:eastAsia="Calibri" w:hAnsi="Calibri"/>
                <w:lang w:val="en-GB"/>
              </w:rPr>
            </w:pPr>
            <w:r w:rsidRPr="00697F7C">
              <w:rPr>
                <w:rFonts w:ascii="Calibri" w:eastAsia="Calibri" w:hAnsi="Calibri"/>
                <w:lang w:val="en-GB"/>
              </w:rPr>
              <w:t xml:space="preserve">SARS-COV-2 specific RNA </w:t>
            </w:r>
          </w:p>
        </w:tc>
        <w:tc>
          <w:tcPr>
            <w:tcW w:w="1440" w:type="dxa"/>
          </w:tcPr>
          <w:p w14:paraId="55384ABE" w14:textId="77777777" w:rsidR="00697F7C" w:rsidRPr="00697F7C" w:rsidRDefault="00697F7C" w:rsidP="00697F7C">
            <w:pPr>
              <w:rPr>
                <w:rFonts w:ascii="Calibri" w:eastAsia="Calibri" w:hAnsi="Calibri"/>
                <w:lang w:val="en-GB"/>
              </w:rPr>
            </w:pPr>
            <w:r w:rsidRPr="00697F7C">
              <w:rPr>
                <w:rFonts w:ascii="Calibri" w:eastAsia="Calibri" w:hAnsi="Calibri"/>
                <w:lang w:val="en-GB"/>
              </w:rPr>
              <w:t>S gene</w:t>
            </w:r>
          </w:p>
        </w:tc>
        <w:tc>
          <w:tcPr>
            <w:tcW w:w="2978" w:type="dxa"/>
          </w:tcPr>
          <w:p w14:paraId="6B9849EA" w14:textId="77777777" w:rsidR="00697F7C" w:rsidRPr="00697F7C" w:rsidRDefault="00697F7C" w:rsidP="00697F7C">
            <w:pPr>
              <w:rPr>
                <w:rFonts w:ascii="Calibri" w:eastAsia="Calibri" w:hAnsi="Calibri"/>
                <w:lang w:val="en-GB"/>
              </w:rPr>
            </w:pPr>
            <w:r w:rsidRPr="00697F7C">
              <w:rPr>
                <w:rFonts w:ascii="Calibri" w:eastAsia="Calibri" w:hAnsi="Calibri"/>
                <w:lang w:val="en-GB"/>
              </w:rPr>
              <w:t>Cy5/618-660</w:t>
            </w:r>
          </w:p>
        </w:tc>
      </w:tr>
      <w:tr w:rsidR="00697F7C" w:rsidRPr="00697F7C" w14:paraId="46DEB242" w14:textId="77777777" w:rsidTr="00697F7C">
        <w:trPr>
          <w:trHeight w:val="249"/>
        </w:trPr>
        <w:tc>
          <w:tcPr>
            <w:tcW w:w="3056" w:type="dxa"/>
          </w:tcPr>
          <w:p w14:paraId="7C8A72BE" w14:textId="77777777" w:rsidR="00697F7C" w:rsidRPr="00697F7C" w:rsidRDefault="00697F7C" w:rsidP="00697F7C">
            <w:pPr>
              <w:rPr>
                <w:rFonts w:ascii="Calibri" w:eastAsia="Calibri" w:hAnsi="Calibri"/>
                <w:lang w:val="en-GB"/>
              </w:rPr>
            </w:pPr>
            <w:r w:rsidRPr="00697F7C">
              <w:rPr>
                <w:rFonts w:ascii="Calibri" w:eastAsia="Calibri" w:hAnsi="Calibri"/>
                <w:lang w:val="en-GB"/>
              </w:rPr>
              <w:t xml:space="preserve">Internal control </w:t>
            </w:r>
          </w:p>
        </w:tc>
        <w:tc>
          <w:tcPr>
            <w:tcW w:w="1440" w:type="dxa"/>
          </w:tcPr>
          <w:p w14:paraId="6660D4C3" w14:textId="77777777" w:rsidR="00697F7C" w:rsidRPr="00697F7C" w:rsidRDefault="00697F7C" w:rsidP="00697F7C">
            <w:pPr>
              <w:rPr>
                <w:rFonts w:ascii="Calibri" w:eastAsia="Calibri" w:hAnsi="Calibri"/>
                <w:lang w:val="en-GB"/>
              </w:rPr>
            </w:pPr>
            <w:r w:rsidRPr="00697F7C">
              <w:rPr>
                <w:rFonts w:ascii="Calibri" w:eastAsia="Calibri" w:hAnsi="Calibri"/>
                <w:lang w:val="en-GB"/>
              </w:rPr>
              <w:t>IC</w:t>
            </w:r>
          </w:p>
        </w:tc>
        <w:tc>
          <w:tcPr>
            <w:tcW w:w="2978" w:type="dxa"/>
          </w:tcPr>
          <w:p w14:paraId="2BCF32DA" w14:textId="43187191" w:rsidR="00697F7C" w:rsidRPr="00697F7C" w:rsidRDefault="00697F7C" w:rsidP="00697F7C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HEX</w:t>
            </w:r>
            <w:r w:rsidRPr="00697F7C">
              <w:rPr>
                <w:rFonts w:ascii="Calibri" w:eastAsia="Calibri" w:hAnsi="Calibri"/>
                <w:lang w:val="en-GB"/>
              </w:rPr>
              <w:t>/</w:t>
            </w:r>
            <w:r w:rsidR="00223A46">
              <w:rPr>
                <w:rFonts w:ascii="Calibri" w:eastAsia="Calibri" w:hAnsi="Calibri"/>
                <w:lang w:val="en-GB"/>
              </w:rPr>
              <w:t>465-</w:t>
            </w:r>
            <w:r w:rsidRPr="00697F7C">
              <w:rPr>
                <w:rFonts w:ascii="Calibri" w:eastAsia="Calibri" w:hAnsi="Calibri"/>
                <w:lang w:val="en-GB"/>
              </w:rPr>
              <w:t>533</w:t>
            </w:r>
          </w:p>
        </w:tc>
      </w:tr>
    </w:tbl>
    <w:p w14:paraId="6F5DB619" w14:textId="0EF92C28" w:rsidR="0029472B" w:rsidRDefault="0029472B" w:rsidP="00697F7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919D47B" w14:textId="118CFF9F" w:rsidR="00697F7C" w:rsidRPr="0029472B" w:rsidRDefault="0029472B" w:rsidP="0029472B">
      <w:pPr>
        <w:rPr>
          <w:rFonts w:ascii="Arial" w:eastAsiaTheme="minorEastAsia" w:hAnsi="Arial" w:cs="Arial"/>
          <w:lang w:val="en-US" w:eastAsia="en-US" w:bidi="en-US"/>
        </w:rPr>
      </w:pPr>
      <w:r>
        <w:rPr>
          <w:rFonts w:ascii="Arial" w:hAnsi="Arial" w:cs="Arial"/>
        </w:rPr>
        <w:br w:type="page"/>
      </w:r>
    </w:p>
    <w:p w14:paraId="74BD552A" w14:textId="409D4152" w:rsidR="003A00BB" w:rsidRDefault="00697F7C" w:rsidP="0082730A">
      <w:pPr>
        <w:pStyle w:val="Heading3"/>
        <w:rPr>
          <w:lang w:val="en-US"/>
        </w:rPr>
      </w:pPr>
      <w:bookmarkStart w:id="34" w:name="_Toc36489729"/>
      <w:r>
        <w:lastRenderedPageBreak/>
        <w:t>Data analysis and interpretation</w:t>
      </w:r>
      <w:bookmarkEnd w:id="34"/>
    </w:p>
    <w:p w14:paraId="3D764E51" w14:textId="5D22EA1A" w:rsidR="0082730A" w:rsidRDefault="00AB140F" w:rsidP="00D9226C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Perform data analysis using the second derivative maximum method. The negative control (NTC) must show no signal. </w:t>
      </w:r>
    </w:p>
    <w:p w14:paraId="69372C09" w14:textId="77777777" w:rsidR="0029472B" w:rsidRDefault="0029472B" w:rsidP="00D9226C">
      <w:pPr>
        <w:jc w:val="both"/>
        <w:rPr>
          <w:rFonts w:ascii="Arial" w:hAnsi="Arial" w:cs="Arial"/>
          <w:lang w:val="en-GB"/>
        </w:rPr>
      </w:pPr>
    </w:p>
    <w:p w14:paraId="34CF607E" w14:textId="031F9DE5" w:rsidR="00921694" w:rsidRDefault="00921694" w:rsidP="00921694">
      <w:pPr>
        <w:pStyle w:val="Caption"/>
        <w:keepNext/>
        <w:ind w:firstLine="851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. Interpretation</w:t>
      </w:r>
    </w:p>
    <w:tbl>
      <w:tblPr>
        <w:tblStyle w:val="TableGrid5"/>
        <w:tblW w:w="7920" w:type="dxa"/>
        <w:tblInd w:w="805" w:type="dxa"/>
        <w:tblLook w:val="04A0" w:firstRow="1" w:lastRow="0" w:firstColumn="1" w:lastColumn="0" w:noHBand="0" w:noVBand="1"/>
      </w:tblPr>
      <w:tblGrid>
        <w:gridCol w:w="3420"/>
        <w:gridCol w:w="1710"/>
        <w:gridCol w:w="1530"/>
        <w:gridCol w:w="1260"/>
      </w:tblGrid>
      <w:tr w:rsidR="00AB140F" w:rsidRPr="00AB140F" w14:paraId="607D0562" w14:textId="77777777" w:rsidTr="00921694">
        <w:tc>
          <w:tcPr>
            <w:tcW w:w="3420" w:type="dxa"/>
            <w:shd w:val="clear" w:color="auto" w:fill="95B3D7" w:themeFill="accent1" w:themeFillTint="99"/>
          </w:tcPr>
          <w:p w14:paraId="2438276D" w14:textId="77777777" w:rsidR="00AB140F" w:rsidRPr="00AB140F" w:rsidRDefault="00AB140F" w:rsidP="00AB140F">
            <w:pPr>
              <w:jc w:val="both"/>
              <w:rPr>
                <w:rFonts w:ascii="Arial" w:eastAsia="Calibri" w:hAnsi="Arial" w:cs="Arial"/>
                <w:bCs/>
                <w:lang w:val="en-GB"/>
              </w:rPr>
            </w:pPr>
            <w:r w:rsidRPr="00AB140F">
              <w:rPr>
                <w:rFonts w:ascii="Arial" w:eastAsia="Calibri" w:hAnsi="Arial" w:cs="Arial"/>
                <w:bCs/>
                <w:lang w:val="en-GB"/>
              </w:rPr>
              <w:t>Result Interpretation</w:t>
            </w:r>
          </w:p>
          <w:p w14:paraId="194D54AB" w14:textId="77777777" w:rsidR="00AB140F" w:rsidRPr="00AB140F" w:rsidRDefault="00AB140F" w:rsidP="00AB140F">
            <w:pPr>
              <w:jc w:val="both"/>
              <w:rPr>
                <w:rFonts w:ascii="Arial" w:eastAsia="Calibri" w:hAnsi="Arial" w:cs="Arial"/>
                <w:bCs/>
                <w:lang w:val="en-GB"/>
              </w:rPr>
            </w:pPr>
          </w:p>
          <w:p w14:paraId="46B5F651" w14:textId="77777777" w:rsidR="00AB140F" w:rsidRPr="00AB140F" w:rsidRDefault="00AB140F" w:rsidP="00AB140F">
            <w:pPr>
              <w:jc w:val="both"/>
              <w:rPr>
                <w:rFonts w:ascii="Arial" w:eastAsia="Calibri" w:hAnsi="Arial" w:cs="Arial"/>
                <w:bCs/>
                <w:lang w:val="en-GB"/>
              </w:rPr>
            </w:pPr>
          </w:p>
        </w:tc>
        <w:tc>
          <w:tcPr>
            <w:tcW w:w="1710" w:type="dxa"/>
            <w:shd w:val="clear" w:color="auto" w:fill="95B3D7" w:themeFill="accent1" w:themeFillTint="99"/>
          </w:tcPr>
          <w:p w14:paraId="4DB7653B" w14:textId="77777777" w:rsidR="00AB140F" w:rsidRPr="00AB140F" w:rsidRDefault="00AB140F" w:rsidP="00AB140F">
            <w:pPr>
              <w:jc w:val="center"/>
              <w:rPr>
                <w:rFonts w:ascii="Arial" w:eastAsia="Calibri" w:hAnsi="Arial" w:cs="Arial"/>
                <w:bCs/>
              </w:rPr>
            </w:pPr>
            <w:r w:rsidRPr="00AB140F">
              <w:rPr>
                <w:rFonts w:ascii="Arial" w:eastAsia="Calibri" w:hAnsi="Arial" w:cs="Arial"/>
                <w:bCs/>
              </w:rPr>
              <w:t>B-βCoV (Target E)</w:t>
            </w:r>
          </w:p>
          <w:p w14:paraId="0FB3602E" w14:textId="77777777" w:rsidR="00AB140F" w:rsidRPr="00AB140F" w:rsidRDefault="00AB140F" w:rsidP="00AB140F">
            <w:pPr>
              <w:jc w:val="center"/>
              <w:rPr>
                <w:rFonts w:ascii="Arial" w:eastAsia="Calibri" w:hAnsi="Arial" w:cs="Arial"/>
                <w:bCs/>
              </w:rPr>
            </w:pPr>
            <w:r w:rsidRPr="00AB140F">
              <w:rPr>
                <w:rFonts w:ascii="Arial" w:eastAsia="Calibri" w:hAnsi="Arial" w:cs="Arial"/>
                <w:bCs/>
              </w:rPr>
              <w:t>FAM</w:t>
            </w:r>
          </w:p>
        </w:tc>
        <w:tc>
          <w:tcPr>
            <w:tcW w:w="1530" w:type="dxa"/>
            <w:shd w:val="clear" w:color="auto" w:fill="95B3D7" w:themeFill="accent1" w:themeFillTint="99"/>
          </w:tcPr>
          <w:p w14:paraId="6F7D6CB8" w14:textId="77777777" w:rsidR="00AB140F" w:rsidRPr="00AB140F" w:rsidRDefault="00AB140F" w:rsidP="00AB140F">
            <w:pPr>
              <w:jc w:val="center"/>
              <w:rPr>
                <w:rFonts w:ascii="Arial" w:eastAsia="Calibri" w:hAnsi="Arial" w:cs="Arial"/>
                <w:bCs/>
                <w:lang w:val="en-GB"/>
              </w:rPr>
            </w:pPr>
            <w:r w:rsidRPr="00AB140F">
              <w:rPr>
                <w:rFonts w:ascii="Arial" w:eastAsia="Calibri" w:hAnsi="Arial" w:cs="Arial"/>
                <w:bCs/>
                <w:lang w:val="en-GB"/>
              </w:rPr>
              <w:t>SARS-CoV-2 (Target S) Cy5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39C0CEE6" w14:textId="77777777" w:rsidR="00AB140F" w:rsidRPr="00AB140F" w:rsidRDefault="00AB140F" w:rsidP="00AB140F">
            <w:pPr>
              <w:jc w:val="center"/>
              <w:rPr>
                <w:rFonts w:ascii="Arial" w:eastAsia="Calibri" w:hAnsi="Arial" w:cs="Arial"/>
                <w:bCs/>
                <w:lang w:val="en-GB"/>
              </w:rPr>
            </w:pPr>
            <w:r w:rsidRPr="00AB140F">
              <w:rPr>
                <w:rFonts w:ascii="Arial" w:eastAsia="Calibri" w:hAnsi="Arial" w:cs="Arial"/>
                <w:bCs/>
                <w:lang w:val="en-GB"/>
              </w:rPr>
              <w:t xml:space="preserve">Internal control </w:t>
            </w:r>
          </w:p>
          <w:p w14:paraId="34CE115E" w14:textId="77777777" w:rsidR="00AB140F" w:rsidRPr="00AB140F" w:rsidRDefault="00AB140F" w:rsidP="00AB140F">
            <w:pPr>
              <w:jc w:val="center"/>
              <w:rPr>
                <w:rFonts w:ascii="Arial" w:eastAsia="Calibri" w:hAnsi="Arial" w:cs="Arial"/>
                <w:bCs/>
                <w:lang w:val="en-GB"/>
              </w:rPr>
            </w:pPr>
            <w:r w:rsidRPr="00AB140F">
              <w:rPr>
                <w:rFonts w:ascii="Arial" w:eastAsia="Calibri" w:hAnsi="Arial" w:cs="Arial"/>
                <w:bCs/>
                <w:lang w:val="en-GB"/>
              </w:rPr>
              <w:t>JOE</w:t>
            </w:r>
          </w:p>
        </w:tc>
      </w:tr>
      <w:tr w:rsidR="00AB140F" w:rsidRPr="00AB140F" w14:paraId="382BB46C" w14:textId="77777777" w:rsidTr="00920398">
        <w:trPr>
          <w:trHeight w:val="20"/>
        </w:trPr>
        <w:tc>
          <w:tcPr>
            <w:tcW w:w="3420" w:type="dxa"/>
            <w:vAlign w:val="center"/>
          </w:tcPr>
          <w:p w14:paraId="5795CCF5" w14:textId="17495EDB" w:rsidR="00AB140F" w:rsidRPr="00AB140F" w:rsidRDefault="00AB140F" w:rsidP="00AB140F">
            <w:pPr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COVID-19 Positive</w:t>
            </w:r>
          </w:p>
        </w:tc>
        <w:tc>
          <w:tcPr>
            <w:tcW w:w="1710" w:type="dxa"/>
            <w:vAlign w:val="center"/>
          </w:tcPr>
          <w:p w14:paraId="6B59C303" w14:textId="77777777" w:rsidR="00AB140F" w:rsidRPr="00AB140F" w:rsidRDefault="00AB140F" w:rsidP="00920398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AB140F">
              <w:rPr>
                <w:rFonts w:ascii="Arial" w:eastAsia="Calibri" w:hAnsi="Arial" w:cs="Arial"/>
                <w:b/>
                <w:bCs/>
                <w:lang w:val="en-GB"/>
              </w:rPr>
              <w:t>+</w:t>
            </w:r>
          </w:p>
        </w:tc>
        <w:tc>
          <w:tcPr>
            <w:tcW w:w="1530" w:type="dxa"/>
            <w:vAlign w:val="center"/>
          </w:tcPr>
          <w:p w14:paraId="7880FC5F" w14:textId="77777777" w:rsidR="00AB140F" w:rsidRPr="00AB140F" w:rsidRDefault="00AB140F" w:rsidP="00920398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AB140F">
              <w:rPr>
                <w:rFonts w:ascii="Arial" w:eastAsia="Calibri" w:hAnsi="Arial" w:cs="Arial"/>
                <w:b/>
                <w:bCs/>
                <w:lang w:val="en-GB"/>
              </w:rPr>
              <w:t>+</w:t>
            </w:r>
          </w:p>
        </w:tc>
        <w:tc>
          <w:tcPr>
            <w:tcW w:w="1260" w:type="dxa"/>
            <w:vAlign w:val="center"/>
          </w:tcPr>
          <w:p w14:paraId="581EFF0F" w14:textId="77777777" w:rsidR="00AB140F" w:rsidRPr="00AB140F" w:rsidRDefault="00AB140F" w:rsidP="00920398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AB140F">
              <w:rPr>
                <w:rFonts w:ascii="Arial" w:eastAsia="Calibri" w:hAnsi="Arial" w:cs="Arial"/>
                <w:b/>
                <w:bCs/>
                <w:lang w:val="en-GB"/>
              </w:rPr>
              <w:t>+</w:t>
            </w:r>
          </w:p>
        </w:tc>
      </w:tr>
      <w:tr w:rsidR="00AB140F" w:rsidRPr="00AB140F" w14:paraId="6E4A254B" w14:textId="77777777" w:rsidTr="00920398">
        <w:trPr>
          <w:trHeight w:val="20"/>
        </w:trPr>
        <w:tc>
          <w:tcPr>
            <w:tcW w:w="3420" w:type="dxa"/>
            <w:vAlign w:val="center"/>
          </w:tcPr>
          <w:p w14:paraId="6C829674" w14:textId="64F4557D" w:rsidR="00AB140F" w:rsidRPr="00AB140F" w:rsidRDefault="00AB140F" w:rsidP="00AB140F">
            <w:pPr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COVID-19 </w:t>
            </w:r>
            <w:r w:rsidR="00FF0743">
              <w:rPr>
                <w:rFonts w:ascii="Arial" w:eastAsia="Calibri" w:hAnsi="Arial" w:cs="Arial"/>
                <w:lang w:val="en-GB"/>
              </w:rPr>
              <w:t>Negative</w:t>
            </w:r>
          </w:p>
        </w:tc>
        <w:tc>
          <w:tcPr>
            <w:tcW w:w="1710" w:type="dxa"/>
            <w:vAlign w:val="center"/>
          </w:tcPr>
          <w:p w14:paraId="68D2D3C1" w14:textId="77777777" w:rsidR="00AB140F" w:rsidRPr="00AB140F" w:rsidRDefault="00AB140F" w:rsidP="00920398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AB140F">
              <w:rPr>
                <w:rFonts w:ascii="Arial" w:eastAsia="Calibri" w:hAnsi="Arial" w:cs="Arial"/>
                <w:b/>
                <w:bCs/>
                <w:lang w:val="en-GB"/>
              </w:rPr>
              <w:t>+</w:t>
            </w:r>
          </w:p>
        </w:tc>
        <w:tc>
          <w:tcPr>
            <w:tcW w:w="1530" w:type="dxa"/>
            <w:vAlign w:val="center"/>
          </w:tcPr>
          <w:p w14:paraId="7B127770" w14:textId="77777777" w:rsidR="00AB140F" w:rsidRPr="00AB140F" w:rsidRDefault="00AB140F" w:rsidP="00920398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AB140F">
              <w:rPr>
                <w:rFonts w:ascii="Arial" w:eastAsia="Calibri" w:hAnsi="Arial" w:cs="Arial"/>
                <w:b/>
                <w:bCs/>
                <w:lang w:val="en-GB"/>
              </w:rPr>
              <w:t>-</w:t>
            </w:r>
          </w:p>
        </w:tc>
        <w:tc>
          <w:tcPr>
            <w:tcW w:w="1260" w:type="dxa"/>
            <w:vAlign w:val="center"/>
          </w:tcPr>
          <w:p w14:paraId="0E7D0C36" w14:textId="77777777" w:rsidR="00AB140F" w:rsidRPr="00AB140F" w:rsidRDefault="00AB140F" w:rsidP="00920398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AB140F">
              <w:rPr>
                <w:rFonts w:ascii="Arial" w:eastAsia="Calibri" w:hAnsi="Arial" w:cs="Arial"/>
                <w:b/>
                <w:bCs/>
                <w:lang w:val="en-GB"/>
              </w:rPr>
              <w:t>+</w:t>
            </w:r>
          </w:p>
        </w:tc>
      </w:tr>
      <w:tr w:rsidR="00AB140F" w:rsidRPr="00AB140F" w14:paraId="2EB38312" w14:textId="77777777" w:rsidTr="00920398">
        <w:trPr>
          <w:trHeight w:val="20"/>
        </w:trPr>
        <w:tc>
          <w:tcPr>
            <w:tcW w:w="3420" w:type="dxa"/>
            <w:vAlign w:val="center"/>
          </w:tcPr>
          <w:p w14:paraId="2D85987F" w14:textId="4F651BD3" w:rsidR="00AB140F" w:rsidRPr="00AB140F" w:rsidRDefault="00AB140F" w:rsidP="00AB140F">
            <w:pPr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COVID-19 Negative</w:t>
            </w:r>
          </w:p>
        </w:tc>
        <w:tc>
          <w:tcPr>
            <w:tcW w:w="1710" w:type="dxa"/>
            <w:vAlign w:val="center"/>
          </w:tcPr>
          <w:p w14:paraId="6D11845D" w14:textId="77777777" w:rsidR="00AB140F" w:rsidRPr="00AB140F" w:rsidRDefault="00AB140F" w:rsidP="00920398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AB140F">
              <w:rPr>
                <w:rFonts w:ascii="Arial" w:eastAsia="Calibri" w:hAnsi="Arial" w:cs="Arial"/>
                <w:b/>
                <w:bCs/>
                <w:lang w:val="en-GB"/>
              </w:rPr>
              <w:t>-</w:t>
            </w:r>
          </w:p>
        </w:tc>
        <w:tc>
          <w:tcPr>
            <w:tcW w:w="1530" w:type="dxa"/>
            <w:vAlign w:val="center"/>
          </w:tcPr>
          <w:p w14:paraId="284C0434" w14:textId="77777777" w:rsidR="00AB140F" w:rsidRPr="00AB140F" w:rsidRDefault="00AB140F" w:rsidP="00920398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AB140F">
              <w:rPr>
                <w:rFonts w:ascii="Arial" w:eastAsia="Calibri" w:hAnsi="Arial" w:cs="Arial"/>
                <w:b/>
                <w:bCs/>
                <w:lang w:val="en-GB"/>
              </w:rPr>
              <w:t>-</w:t>
            </w:r>
          </w:p>
        </w:tc>
        <w:tc>
          <w:tcPr>
            <w:tcW w:w="1260" w:type="dxa"/>
            <w:vAlign w:val="center"/>
          </w:tcPr>
          <w:p w14:paraId="25AB10E2" w14:textId="77777777" w:rsidR="00AB140F" w:rsidRPr="00AB140F" w:rsidRDefault="00AB140F" w:rsidP="00920398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AB140F">
              <w:rPr>
                <w:rFonts w:ascii="Arial" w:eastAsia="Calibri" w:hAnsi="Arial" w:cs="Arial"/>
                <w:b/>
                <w:bCs/>
                <w:lang w:val="en-GB"/>
              </w:rPr>
              <w:t>+</w:t>
            </w:r>
          </w:p>
        </w:tc>
      </w:tr>
      <w:tr w:rsidR="00AB140F" w:rsidRPr="00AB140F" w14:paraId="634F10B3" w14:textId="77777777" w:rsidTr="00920398">
        <w:tc>
          <w:tcPr>
            <w:tcW w:w="3420" w:type="dxa"/>
          </w:tcPr>
          <w:p w14:paraId="2E155334" w14:textId="1D901786" w:rsidR="00AB140F" w:rsidRPr="00AB140F" w:rsidRDefault="00AB140F" w:rsidP="00920398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R</w:t>
            </w:r>
            <w:r w:rsidR="00920398">
              <w:rPr>
                <w:rFonts w:ascii="Arial" w:eastAsia="Calibri" w:hAnsi="Arial" w:cs="Arial"/>
                <w:lang w:val="en-GB"/>
              </w:rPr>
              <w:t xml:space="preserve">eaction </w:t>
            </w:r>
            <w:r>
              <w:rPr>
                <w:rFonts w:ascii="Arial" w:eastAsia="Calibri" w:hAnsi="Arial" w:cs="Arial"/>
                <w:lang w:val="en-GB"/>
              </w:rPr>
              <w:t>failure (presence of inhibitors). Repeat test with a new sample</w:t>
            </w:r>
          </w:p>
        </w:tc>
        <w:tc>
          <w:tcPr>
            <w:tcW w:w="1710" w:type="dxa"/>
            <w:vAlign w:val="center"/>
          </w:tcPr>
          <w:p w14:paraId="0325CE22" w14:textId="77777777" w:rsidR="00AB140F" w:rsidRPr="00AB140F" w:rsidRDefault="00AB140F" w:rsidP="00920398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</w:p>
          <w:p w14:paraId="5C619277" w14:textId="77777777" w:rsidR="00AB140F" w:rsidRPr="00AB140F" w:rsidRDefault="00AB140F" w:rsidP="00920398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AB140F">
              <w:rPr>
                <w:rFonts w:ascii="Arial" w:eastAsia="Calibri" w:hAnsi="Arial" w:cs="Arial"/>
                <w:b/>
                <w:bCs/>
                <w:lang w:val="en-GB"/>
              </w:rPr>
              <w:t>-</w:t>
            </w:r>
          </w:p>
        </w:tc>
        <w:tc>
          <w:tcPr>
            <w:tcW w:w="1530" w:type="dxa"/>
            <w:vAlign w:val="center"/>
          </w:tcPr>
          <w:p w14:paraId="263CCE34" w14:textId="77777777" w:rsidR="00AB140F" w:rsidRPr="00AB140F" w:rsidRDefault="00AB140F" w:rsidP="00920398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</w:p>
          <w:p w14:paraId="05BF6BBF" w14:textId="77777777" w:rsidR="00AB140F" w:rsidRPr="00AB140F" w:rsidRDefault="00AB140F" w:rsidP="00920398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AB140F">
              <w:rPr>
                <w:rFonts w:ascii="Arial" w:eastAsia="Calibri" w:hAnsi="Arial" w:cs="Arial"/>
                <w:b/>
                <w:bCs/>
                <w:lang w:val="en-GB"/>
              </w:rPr>
              <w:t>-</w:t>
            </w:r>
          </w:p>
        </w:tc>
        <w:tc>
          <w:tcPr>
            <w:tcW w:w="1260" w:type="dxa"/>
            <w:vAlign w:val="center"/>
          </w:tcPr>
          <w:p w14:paraId="1B954379" w14:textId="77777777" w:rsidR="00AB140F" w:rsidRPr="00AB140F" w:rsidRDefault="00AB140F" w:rsidP="00920398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</w:p>
          <w:p w14:paraId="484A3E91" w14:textId="77777777" w:rsidR="00AB140F" w:rsidRPr="00AB140F" w:rsidRDefault="00AB140F" w:rsidP="00920398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AB140F">
              <w:rPr>
                <w:rFonts w:ascii="Arial" w:eastAsia="Calibri" w:hAnsi="Arial" w:cs="Arial"/>
                <w:b/>
                <w:bCs/>
                <w:lang w:val="en-GB"/>
              </w:rPr>
              <w:t>-</w:t>
            </w:r>
          </w:p>
        </w:tc>
      </w:tr>
    </w:tbl>
    <w:p w14:paraId="66D37F10" w14:textId="77777777" w:rsidR="00AB140F" w:rsidRDefault="00AB140F" w:rsidP="00AB140F">
      <w:pPr>
        <w:pStyle w:val="Heading1"/>
        <w:numPr>
          <w:ilvl w:val="0"/>
          <w:numId w:val="0"/>
        </w:numPr>
        <w:rPr>
          <w:lang w:val="en-GB"/>
        </w:rPr>
      </w:pPr>
    </w:p>
    <w:p w14:paraId="0EF8E74C" w14:textId="63FEEE7B" w:rsidR="0082730A" w:rsidRDefault="0082730A" w:rsidP="0082730A">
      <w:pPr>
        <w:pStyle w:val="Heading1"/>
        <w:rPr>
          <w:lang w:val="en-GB"/>
        </w:rPr>
      </w:pPr>
      <w:bookmarkStart w:id="35" w:name="_Toc36489730"/>
      <w:r>
        <w:rPr>
          <w:lang w:val="en-GB"/>
        </w:rPr>
        <w:t>Safety</w:t>
      </w:r>
      <w:bookmarkEnd w:id="35"/>
    </w:p>
    <w:p w14:paraId="70C79D3E" w14:textId="4329E407" w:rsidR="0082730A" w:rsidRPr="0082730A" w:rsidRDefault="00944A75" w:rsidP="0082730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Specimens and reagents containing materials from human</w:t>
      </w:r>
      <w:r w:rsidR="00FC224E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are </w:t>
      </w:r>
      <w:r w:rsidR="00FC224E">
        <w:rPr>
          <w:rFonts w:ascii="Arial" w:hAnsi="Arial" w:cs="Arial"/>
          <w:lang w:val="en-US"/>
        </w:rPr>
        <w:t>potentially contagious and need</w:t>
      </w:r>
      <w:r w:rsidR="0082730A" w:rsidRPr="0082730A">
        <w:rPr>
          <w:rFonts w:ascii="Arial" w:hAnsi="Arial" w:cs="Arial"/>
          <w:lang w:val="en-US"/>
        </w:rPr>
        <w:t xml:space="preserve"> to be handled a</w:t>
      </w:r>
      <w:r w:rsidR="0082730A">
        <w:rPr>
          <w:rFonts w:ascii="Arial" w:hAnsi="Arial" w:cs="Arial"/>
          <w:lang w:val="en-US"/>
        </w:rPr>
        <w:t>ccordingly</w:t>
      </w:r>
      <w:r w:rsidR="0082730A" w:rsidRPr="0082730A">
        <w:rPr>
          <w:rFonts w:ascii="Arial" w:hAnsi="Arial" w:cs="Arial"/>
          <w:lang w:val="en-US"/>
        </w:rPr>
        <w:t>. Always wear p</w:t>
      </w:r>
      <w:r>
        <w:rPr>
          <w:rFonts w:ascii="Arial" w:hAnsi="Arial" w:cs="Arial"/>
          <w:lang w:val="en-US"/>
        </w:rPr>
        <w:t xml:space="preserve">rotective clothing and gloves. </w:t>
      </w:r>
      <w:r w:rsidR="0082730A" w:rsidRPr="0082730A">
        <w:rPr>
          <w:rFonts w:ascii="Arial" w:hAnsi="Arial" w:cs="Arial"/>
          <w:lang w:val="en-US"/>
        </w:rPr>
        <w:t>When needle stick or cut injuries occur safety regulations of the U</w:t>
      </w:r>
      <w:r w:rsidR="0082730A">
        <w:rPr>
          <w:rFonts w:ascii="Arial" w:hAnsi="Arial" w:cs="Arial"/>
          <w:lang w:val="en-US"/>
        </w:rPr>
        <w:t>KT</w:t>
      </w:r>
      <w:r w:rsidR="0082730A" w:rsidRPr="0082730A">
        <w:rPr>
          <w:rFonts w:ascii="Arial" w:hAnsi="Arial" w:cs="Arial"/>
          <w:lang w:val="en-US"/>
        </w:rPr>
        <w:t xml:space="preserve"> apply. Instructions and emergency numbers and contact detail</w:t>
      </w:r>
      <w:r w:rsidR="00FC224E">
        <w:rPr>
          <w:rFonts w:ascii="Arial" w:hAnsi="Arial" w:cs="Arial"/>
          <w:lang w:val="en-US"/>
        </w:rPr>
        <w:t>s</w:t>
      </w:r>
      <w:r w:rsidR="0082730A" w:rsidRPr="0082730A">
        <w:rPr>
          <w:rFonts w:ascii="Arial" w:hAnsi="Arial" w:cs="Arial"/>
          <w:lang w:val="en-US"/>
        </w:rPr>
        <w:t xml:space="preserve"> of the respective safety officer are displayed near the entry door of all laboratories at ITM where infectious material is handled.</w:t>
      </w:r>
    </w:p>
    <w:p w14:paraId="1AB408D7" w14:textId="0FDCDC3C" w:rsidR="00A62900" w:rsidRDefault="0082730A" w:rsidP="0082730A">
      <w:pPr>
        <w:pStyle w:val="Heading1"/>
        <w:rPr>
          <w:lang w:val="en-US"/>
        </w:rPr>
      </w:pPr>
      <w:bookmarkStart w:id="36" w:name="_Toc36489731"/>
      <w:r>
        <w:rPr>
          <w:lang w:val="en-US"/>
        </w:rPr>
        <w:t>References</w:t>
      </w:r>
      <w:bookmarkEnd w:id="36"/>
    </w:p>
    <w:p w14:paraId="1F197E65" w14:textId="146C7A84" w:rsidR="003A3FB5" w:rsidRPr="003A3FB5" w:rsidRDefault="003A3FB5" w:rsidP="003A3FB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A3FB5">
        <w:rPr>
          <w:rFonts w:ascii="Arial" w:hAnsi="Arial" w:cs="Arial"/>
        </w:rPr>
        <w:t>RealStar</w:t>
      </w:r>
      <w:r w:rsidR="00A76F38">
        <w:rPr>
          <w:rFonts w:ascii="Arial" w:hAnsi="Arial" w:cs="Arial"/>
        </w:rPr>
        <w:t>®</w:t>
      </w:r>
      <w:r w:rsidRPr="003A3FB5">
        <w:rPr>
          <w:rFonts w:ascii="Arial" w:hAnsi="Arial" w:cs="Arial"/>
        </w:rPr>
        <w:t xml:space="preserve"> SARS-CoV-2 RT-PCR Kit 1.0 (Altona Diagnostics GmbH)</w:t>
      </w:r>
    </w:p>
    <w:p w14:paraId="56186259" w14:textId="77777777" w:rsidR="003A3FB5" w:rsidRDefault="00116413" w:rsidP="0098443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A3FB5">
        <w:rPr>
          <w:rFonts w:ascii="Arial" w:hAnsi="Arial" w:cs="Arial"/>
        </w:rPr>
        <w:t xml:space="preserve">QIAgility® User Manual (Version June 2013) </w:t>
      </w:r>
    </w:p>
    <w:p w14:paraId="4F41AD0D" w14:textId="6D61ADCE" w:rsidR="0082730A" w:rsidRPr="003A3FB5" w:rsidRDefault="0082730A" w:rsidP="0098443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A3FB5">
        <w:rPr>
          <w:rFonts w:ascii="Arial" w:hAnsi="Arial" w:cs="Arial"/>
          <w:lang w:val="en-GB"/>
        </w:rPr>
        <w:t>SOP010</w:t>
      </w:r>
      <w:r w:rsidR="00C9068A">
        <w:rPr>
          <w:rFonts w:ascii="Arial" w:hAnsi="Arial" w:cs="Arial"/>
          <w:lang w:val="en-GB"/>
        </w:rPr>
        <w:t>b</w:t>
      </w:r>
      <w:r w:rsidRPr="003A3FB5">
        <w:rPr>
          <w:rFonts w:ascii="Arial" w:hAnsi="Arial" w:cs="Arial"/>
          <w:lang w:val="en-GB"/>
        </w:rPr>
        <w:t xml:space="preserve">-ITM CTP: Sampling, storage and </w:t>
      </w:r>
      <w:r w:rsidR="0029472B">
        <w:rPr>
          <w:rFonts w:ascii="Arial" w:hAnsi="Arial" w:cs="Arial"/>
          <w:lang w:val="en-GB"/>
        </w:rPr>
        <w:t>RNA</w:t>
      </w:r>
      <w:r w:rsidRPr="003A3FB5">
        <w:rPr>
          <w:rFonts w:ascii="Arial" w:hAnsi="Arial" w:cs="Arial"/>
          <w:lang w:val="en-GB"/>
        </w:rPr>
        <w:t xml:space="preserve"> extraction </w:t>
      </w:r>
      <w:r w:rsidR="00C9068A">
        <w:rPr>
          <w:rFonts w:ascii="Arial" w:hAnsi="Arial" w:cs="Arial"/>
          <w:lang w:val="en-GB"/>
        </w:rPr>
        <w:t>of swab specimens</w:t>
      </w:r>
    </w:p>
    <w:sectPr w:rsidR="0082730A" w:rsidRPr="003A3FB5" w:rsidSect="00DE33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CB937" w14:textId="77777777" w:rsidR="00751C0E" w:rsidRDefault="00751C0E" w:rsidP="00CE0D17">
      <w:r>
        <w:separator/>
      </w:r>
    </w:p>
  </w:endnote>
  <w:endnote w:type="continuationSeparator" w:id="0">
    <w:p w14:paraId="359287B3" w14:textId="77777777" w:rsidR="00751C0E" w:rsidRDefault="00751C0E" w:rsidP="00CE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F85D" w14:textId="3FD07242" w:rsidR="00467011" w:rsidRDefault="00467011" w:rsidP="00DE3392">
    <w:pPr>
      <w:pStyle w:val="Footer"/>
      <w:pBdr>
        <w:top w:val="single" w:sz="4" w:space="1" w:color="auto"/>
      </w:pBdr>
      <w:spacing w:before="120"/>
      <w:rPr>
        <w:rFonts w:ascii="Arial" w:hAnsi="Arial" w:cs="Arial"/>
        <w:sz w:val="20"/>
        <w:lang w:val="en-US"/>
      </w:rPr>
    </w:pPr>
    <w:r w:rsidRPr="002F2E52">
      <w:rPr>
        <w:rFonts w:ascii="Arial" w:hAnsi="Arial" w:cs="Arial"/>
        <w:noProof/>
        <w:sz w:val="20"/>
        <w:szCs w:val="20"/>
        <w:lang w:val="en-US" w:eastAsia="fr-FR"/>
      </w:rPr>
      <w:t>INSTITUTE OF TROPICAL MEDICINE</w:t>
    </w:r>
    <w:r w:rsidRPr="009B0FAD">
      <w:rPr>
        <w:rFonts w:ascii="Arial" w:hAnsi="Arial" w:cs="Arial"/>
        <w:sz w:val="20"/>
        <w:lang w:val="en-GB"/>
      </w:rPr>
      <w:tab/>
    </w:r>
    <w:r>
      <w:rPr>
        <w:rFonts w:ascii="Arial" w:hAnsi="Arial" w:cs="Arial"/>
        <w:sz w:val="20"/>
        <w:lang w:val="en-GB"/>
      </w:rPr>
      <w:t>Page</w:t>
    </w:r>
    <w:r w:rsidRPr="005D538B">
      <w:rPr>
        <w:rFonts w:ascii="Arial" w:hAnsi="Arial" w:cs="Arial"/>
        <w:sz w:val="20"/>
        <w:lang w:val="en-US"/>
      </w:rPr>
      <w:t xml:space="preserve"> </w:t>
    </w:r>
    <w:r w:rsidRPr="00B0001B">
      <w:rPr>
        <w:rFonts w:ascii="Arial" w:hAnsi="Arial" w:cs="Arial"/>
        <w:sz w:val="20"/>
      </w:rPr>
      <w:fldChar w:fldCharType="begin"/>
    </w:r>
    <w:r w:rsidRPr="005D538B">
      <w:rPr>
        <w:rFonts w:ascii="Arial" w:hAnsi="Arial" w:cs="Arial"/>
        <w:sz w:val="20"/>
        <w:lang w:val="en-US"/>
      </w:rPr>
      <w:instrText xml:space="preserve"> PAGE </w:instrText>
    </w:r>
    <w:r w:rsidRPr="00B0001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  <w:lang w:val="en-US"/>
      </w:rPr>
      <w:t>8</w:t>
    </w:r>
    <w:r w:rsidRPr="00B0001B">
      <w:rPr>
        <w:rFonts w:ascii="Arial" w:hAnsi="Arial" w:cs="Arial"/>
        <w:sz w:val="20"/>
      </w:rPr>
      <w:fldChar w:fldCharType="end"/>
    </w:r>
    <w:r w:rsidRPr="005D538B">
      <w:rPr>
        <w:rFonts w:ascii="Arial" w:hAnsi="Arial" w:cs="Arial"/>
        <w:sz w:val="20"/>
        <w:lang w:val="en-US"/>
      </w:rPr>
      <w:t xml:space="preserve"> </w:t>
    </w:r>
    <w:r>
      <w:rPr>
        <w:rFonts w:ascii="Arial" w:hAnsi="Arial" w:cs="Arial"/>
        <w:sz w:val="20"/>
        <w:lang w:val="en-US"/>
      </w:rPr>
      <w:t>of</w:t>
    </w:r>
    <w:r w:rsidRPr="005D538B">
      <w:rPr>
        <w:rFonts w:ascii="Arial" w:hAnsi="Arial" w:cs="Arial"/>
        <w:sz w:val="20"/>
        <w:lang w:val="en-US"/>
      </w:rPr>
      <w:t xml:space="preserve"> </w:t>
    </w:r>
    <w:r w:rsidRPr="00B0001B">
      <w:rPr>
        <w:rFonts w:ascii="Arial" w:hAnsi="Arial" w:cs="Arial"/>
        <w:sz w:val="20"/>
      </w:rPr>
      <w:fldChar w:fldCharType="begin"/>
    </w:r>
    <w:r w:rsidRPr="005D538B">
      <w:rPr>
        <w:rFonts w:ascii="Arial" w:hAnsi="Arial" w:cs="Arial"/>
        <w:sz w:val="20"/>
        <w:lang w:val="en-US"/>
      </w:rPr>
      <w:instrText xml:space="preserve"> NUMPAGES </w:instrText>
    </w:r>
    <w:r w:rsidRPr="00B0001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  <w:lang w:val="en-US"/>
      </w:rPr>
      <w:t>8</w:t>
    </w:r>
    <w:r w:rsidRPr="00B0001B">
      <w:rPr>
        <w:rFonts w:ascii="Arial" w:hAnsi="Arial" w:cs="Arial"/>
        <w:sz w:val="20"/>
      </w:rPr>
      <w:fldChar w:fldCharType="end"/>
    </w:r>
    <w:r w:rsidRPr="005D538B">
      <w:rPr>
        <w:rStyle w:val="PageNumber"/>
        <w:rFonts w:ascii="Arial" w:hAnsi="Arial" w:cs="Arial"/>
        <w:sz w:val="20"/>
        <w:lang w:val="en-US"/>
      </w:rPr>
      <w:tab/>
    </w:r>
    <w:r>
      <w:rPr>
        <w:rStyle w:val="PageNumber"/>
        <w:rFonts w:ascii="Arial" w:hAnsi="Arial" w:cs="Arial"/>
        <w:sz w:val="20"/>
        <w:lang w:val="en-US"/>
      </w:rPr>
      <w:t>29MAR</w:t>
    </w:r>
    <w:r>
      <w:rPr>
        <w:rFonts w:ascii="Arial" w:hAnsi="Arial" w:cs="Arial"/>
        <w:sz w:val="20"/>
        <w:lang w:val="en-US"/>
      </w:rPr>
      <w:t>2020</w:t>
    </w:r>
  </w:p>
  <w:p w14:paraId="01D5ADF6" w14:textId="7D7F71B5" w:rsidR="00467011" w:rsidRPr="002F2E52" w:rsidRDefault="00467011" w:rsidP="00DE3392">
    <w:pPr>
      <w:pStyle w:val="Footer"/>
      <w:pBdr>
        <w:top w:val="single" w:sz="4" w:space="1" w:color="auto"/>
      </w:pBdr>
      <w:spacing w:before="120"/>
      <w:rPr>
        <w:rFonts w:ascii="Arial" w:hAnsi="Arial" w:cs="Arial"/>
        <w:sz w:val="20"/>
        <w:lang w:val="en-US"/>
      </w:rPr>
    </w:pPr>
    <w:r w:rsidRPr="002F2E52">
      <w:rPr>
        <w:rFonts w:ascii="Arial" w:hAnsi="Arial" w:cs="Arial"/>
        <w:sz w:val="20"/>
        <w:lang w:val="en-US"/>
      </w:rPr>
      <w:t>UNIVERSITY OF TÜBINGEN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B7A0" w14:textId="77777777" w:rsidR="00751C0E" w:rsidRDefault="00751C0E" w:rsidP="00CE0D17">
      <w:r>
        <w:separator/>
      </w:r>
    </w:p>
  </w:footnote>
  <w:footnote w:type="continuationSeparator" w:id="0">
    <w:p w14:paraId="1EA91DC9" w14:textId="77777777" w:rsidR="00751C0E" w:rsidRDefault="00751C0E" w:rsidP="00CE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5345" w14:textId="3B4778C1" w:rsidR="00467011" w:rsidRPr="004C736A" w:rsidRDefault="00467011" w:rsidP="00DE3392">
    <w:pPr>
      <w:pStyle w:val="Header"/>
      <w:pBdr>
        <w:bottom w:val="single" w:sz="4" w:space="1" w:color="auto"/>
      </w:pBdr>
      <w:rPr>
        <w:rFonts w:ascii="Arial" w:hAnsi="Arial" w:cs="Arial"/>
        <w:color w:val="000000"/>
        <w:sz w:val="20"/>
        <w:u w:val="single"/>
        <w:lang w:val="en-US"/>
      </w:rPr>
    </w:pPr>
    <w:r>
      <w:rPr>
        <w:rFonts w:ascii="Arial" w:hAnsi="Arial" w:cs="Arial"/>
        <w:sz w:val="20"/>
        <w:lang w:val="en-US"/>
      </w:rPr>
      <w:t>CTP-SOP</w:t>
    </w:r>
    <w:r>
      <w:rPr>
        <w:rFonts w:ascii="Arial" w:hAnsi="Arial" w:cs="Arial"/>
        <w:sz w:val="20"/>
        <w:lang w:val="en-US"/>
      </w:rPr>
      <w:tab/>
      <w:t>Qualitative detection</w:t>
    </w:r>
    <w:r w:rsidRPr="002036BD">
      <w:rPr>
        <w:rFonts w:ascii="Arial" w:hAnsi="Arial" w:cs="Arial"/>
        <w:sz w:val="20"/>
        <w:lang w:val="en-US"/>
      </w:rPr>
      <w:t xml:space="preserve"> of </w:t>
    </w:r>
    <w:r w:rsidR="00174A6E">
      <w:rPr>
        <w:rFonts w:ascii="Arial" w:hAnsi="Arial" w:cs="Arial"/>
        <w:sz w:val="20"/>
        <w:lang w:val="en-US"/>
      </w:rPr>
      <w:t xml:space="preserve">SARS </w:t>
    </w:r>
    <w:r>
      <w:rPr>
        <w:rFonts w:ascii="Arial" w:hAnsi="Arial" w:cs="Arial"/>
        <w:sz w:val="20"/>
        <w:lang w:val="en-US"/>
      </w:rPr>
      <w:t>Coronavirus</w:t>
    </w:r>
    <w:r w:rsidR="00174A6E">
      <w:rPr>
        <w:rFonts w:ascii="Arial" w:hAnsi="Arial" w:cs="Arial"/>
        <w:sz w:val="20"/>
        <w:lang w:val="en-US"/>
      </w:rPr>
      <w:t>-2</w:t>
    </w:r>
    <w:r>
      <w:rPr>
        <w:rFonts w:ascii="Arial" w:hAnsi="Arial" w:cs="Arial"/>
        <w:sz w:val="20"/>
        <w:lang w:val="en-US"/>
      </w:rPr>
      <w:t xml:space="preserve"> (</w:t>
    </w:r>
    <w:r w:rsidR="00174A6E">
      <w:rPr>
        <w:rFonts w:ascii="Arial" w:hAnsi="Arial" w:cs="Arial"/>
        <w:sz w:val="20"/>
        <w:lang w:val="en-US"/>
      </w:rPr>
      <w:t>SARS-CoV-2</w:t>
    </w:r>
    <w:r>
      <w:rPr>
        <w:rFonts w:ascii="Arial" w:hAnsi="Arial" w:cs="Arial"/>
        <w:sz w:val="20"/>
        <w:lang w:val="en-US"/>
      </w:rPr>
      <w:t>)</w:t>
    </w:r>
    <w:r w:rsidRPr="002036BD">
      <w:rPr>
        <w:rFonts w:ascii="Arial" w:hAnsi="Arial" w:cs="Arial"/>
        <w:sz w:val="20"/>
        <w:lang w:val="en-US"/>
      </w:rPr>
      <w:t xml:space="preserve"> by real-time PCR</w:t>
    </w:r>
    <w:r w:rsidRPr="004C736A"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t>01</w:t>
    </w:r>
  </w:p>
  <w:p w14:paraId="15104062" w14:textId="77777777" w:rsidR="00467011" w:rsidRPr="004C736A" w:rsidRDefault="0046701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46D"/>
    <w:multiLevelType w:val="hybridMultilevel"/>
    <w:tmpl w:val="F27E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14FD"/>
    <w:multiLevelType w:val="hybridMultilevel"/>
    <w:tmpl w:val="C9DC9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C62A9"/>
    <w:multiLevelType w:val="hybridMultilevel"/>
    <w:tmpl w:val="647672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4A74B9"/>
    <w:multiLevelType w:val="hybridMultilevel"/>
    <w:tmpl w:val="6442A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42B1"/>
    <w:multiLevelType w:val="hybridMultilevel"/>
    <w:tmpl w:val="75FE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0831"/>
    <w:multiLevelType w:val="hybridMultilevel"/>
    <w:tmpl w:val="E306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2CC2"/>
    <w:multiLevelType w:val="hybridMultilevel"/>
    <w:tmpl w:val="968AA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6F54"/>
    <w:multiLevelType w:val="hybridMultilevel"/>
    <w:tmpl w:val="629C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32FC2"/>
    <w:multiLevelType w:val="hybridMultilevel"/>
    <w:tmpl w:val="E474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D0386"/>
    <w:multiLevelType w:val="multilevel"/>
    <w:tmpl w:val="20F485D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9B8070F"/>
    <w:multiLevelType w:val="hybridMultilevel"/>
    <w:tmpl w:val="468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E1235"/>
    <w:multiLevelType w:val="hybridMultilevel"/>
    <w:tmpl w:val="3ED4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E1D46"/>
    <w:multiLevelType w:val="hybridMultilevel"/>
    <w:tmpl w:val="784C7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1087B"/>
    <w:multiLevelType w:val="hybridMultilevel"/>
    <w:tmpl w:val="FD58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700D6"/>
    <w:multiLevelType w:val="hybridMultilevel"/>
    <w:tmpl w:val="A65E0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17"/>
    <w:rsid w:val="00000BAF"/>
    <w:rsid w:val="00003162"/>
    <w:rsid w:val="0000331D"/>
    <w:rsid w:val="0002528E"/>
    <w:rsid w:val="00026477"/>
    <w:rsid w:val="00026D98"/>
    <w:rsid w:val="00027F56"/>
    <w:rsid w:val="000557CF"/>
    <w:rsid w:val="00055A58"/>
    <w:rsid w:val="00061523"/>
    <w:rsid w:val="00067073"/>
    <w:rsid w:val="000717B5"/>
    <w:rsid w:val="00071C6E"/>
    <w:rsid w:val="00080C6A"/>
    <w:rsid w:val="00081632"/>
    <w:rsid w:val="000A5CF1"/>
    <w:rsid w:val="000B18D6"/>
    <w:rsid w:val="000B4847"/>
    <w:rsid w:val="000C7424"/>
    <w:rsid w:val="000D2778"/>
    <w:rsid w:val="000D393B"/>
    <w:rsid w:val="000D6C90"/>
    <w:rsid w:val="000E1C95"/>
    <w:rsid w:val="000F59B0"/>
    <w:rsid w:val="00101A2D"/>
    <w:rsid w:val="00103B38"/>
    <w:rsid w:val="00111F3D"/>
    <w:rsid w:val="00116413"/>
    <w:rsid w:val="00131B01"/>
    <w:rsid w:val="00135DE1"/>
    <w:rsid w:val="00141F3A"/>
    <w:rsid w:val="001429CB"/>
    <w:rsid w:val="001714FA"/>
    <w:rsid w:val="00174A6E"/>
    <w:rsid w:val="00177A37"/>
    <w:rsid w:val="00193141"/>
    <w:rsid w:val="001A1559"/>
    <w:rsid w:val="001B77E0"/>
    <w:rsid w:val="001C3CE5"/>
    <w:rsid w:val="0020318D"/>
    <w:rsid w:val="002036BD"/>
    <w:rsid w:val="00207C0F"/>
    <w:rsid w:val="00223A46"/>
    <w:rsid w:val="002501A8"/>
    <w:rsid w:val="00260A54"/>
    <w:rsid w:val="002634CF"/>
    <w:rsid w:val="00263F01"/>
    <w:rsid w:val="00264E60"/>
    <w:rsid w:val="0028248A"/>
    <w:rsid w:val="0029472B"/>
    <w:rsid w:val="00295013"/>
    <w:rsid w:val="002E6058"/>
    <w:rsid w:val="002F2E52"/>
    <w:rsid w:val="002F56E8"/>
    <w:rsid w:val="00305C0F"/>
    <w:rsid w:val="003147E2"/>
    <w:rsid w:val="0031683F"/>
    <w:rsid w:val="0031783C"/>
    <w:rsid w:val="00337D5F"/>
    <w:rsid w:val="00342519"/>
    <w:rsid w:val="003611BF"/>
    <w:rsid w:val="003673ED"/>
    <w:rsid w:val="00380A9C"/>
    <w:rsid w:val="003843A4"/>
    <w:rsid w:val="00386A04"/>
    <w:rsid w:val="00386FC6"/>
    <w:rsid w:val="003876D0"/>
    <w:rsid w:val="00395712"/>
    <w:rsid w:val="003A00BB"/>
    <w:rsid w:val="003A3FB5"/>
    <w:rsid w:val="003A5AC5"/>
    <w:rsid w:val="003B1201"/>
    <w:rsid w:val="003C3D9B"/>
    <w:rsid w:val="003E4F84"/>
    <w:rsid w:val="003E7878"/>
    <w:rsid w:val="003F653B"/>
    <w:rsid w:val="00432361"/>
    <w:rsid w:val="004465DB"/>
    <w:rsid w:val="004535AB"/>
    <w:rsid w:val="004607E5"/>
    <w:rsid w:val="00467011"/>
    <w:rsid w:val="00475BD3"/>
    <w:rsid w:val="004760BB"/>
    <w:rsid w:val="00487BF3"/>
    <w:rsid w:val="004A08AA"/>
    <w:rsid w:val="004B1577"/>
    <w:rsid w:val="004B48E5"/>
    <w:rsid w:val="004C07A5"/>
    <w:rsid w:val="004C5371"/>
    <w:rsid w:val="004C5CC8"/>
    <w:rsid w:val="004C736A"/>
    <w:rsid w:val="004D75D1"/>
    <w:rsid w:val="004E073D"/>
    <w:rsid w:val="004F6EA4"/>
    <w:rsid w:val="00501D2D"/>
    <w:rsid w:val="00507BDE"/>
    <w:rsid w:val="00535D66"/>
    <w:rsid w:val="00541E48"/>
    <w:rsid w:val="00543F23"/>
    <w:rsid w:val="00562E0A"/>
    <w:rsid w:val="00570927"/>
    <w:rsid w:val="00581928"/>
    <w:rsid w:val="005A3BBE"/>
    <w:rsid w:val="005B4CA0"/>
    <w:rsid w:val="005B6737"/>
    <w:rsid w:val="005C3E7B"/>
    <w:rsid w:val="005D0670"/>
    <w:rsid w:val="005D3356"/>
    <w:rsid w:val="005D3636"/>
    <w:rsid w:val="005D538B"/>
    <w:rsid w:val="005E5F1F"/>
    <w:rsid w:val="005F1121"/>
    <w:rsid w:val="006102AC"/>
    <w:rsid w:val="006166D4"/>
    <w:rsid w:val="0062378B"/>
    <w:rsid w:val="006344DA"/>
    <w:rsid w:val="00651EB6"/>
    <w:rsid w:val="00652E5A"/>
    <w:rsid w:val="00661D0A"/>
    <w:rsid w:val="0068320E"/>
    <w:rsid w:val="00697F7C"/>
    <w:rsid w:val="006A1B42"/>
    <w:rsid w:val="006A4DA0"/>
    <w:rsid w:val="006C38E1"/>
    <w:rsid w:val="006E13FC"/>
    <w:rsid w:val="006E3D23"/>
    <w:rsid w:val="006E4D61"/>
    <w:rsid w:val="006E7FCB"/>
    <w:rsid w:val="006F5736"/>
    <w:rsid w:val="00702E56"/>
    <w:rsid w:val="00723AD0"/>
    <w:rsid w:val="00725EC7"/>
    <w:rsid w:val="007404AE"/>
    <w:rsid w:val="00746C6B"/>
    <w:rsid w:val="00751C0E"/>
    <w:rsid w:val="00754FD9"/>
    <w:rsid w:val="00756F8C"/>
    <w:rsid w:val="00764AA1"/>
    <w:rsid w:val="00766C80"/>
    <w:rsid w:val="007709A5"/>
    <w:rsid w:val="00795D25"/>
    <w:rsid w:val="007A6FFE"/>
    <w:rsid w:val="007A705A"/>
    <w:rsid w:val="007B3DBD"/>
    <w:rsid w:val="007B6E82"/>
    <w:rsid w:val="007C0AC3"/>
    <w:rsid w:val="007C3FC3"/>
    <w:rsid w:val="007D0FF6"/>
    <w:rsid w:val="007D1A18"/>
    <w:rsid w:val="00804735"/>
    <w:rsid w:val="008134C7"/>
    <w:rsid w:val="008139BF"/>
    <w:rsid w:val="00820EA7"/>
    <w:rsid w:val="0082730A"/>
    <w:rsid w:val="00833C7E"/>
    <w:rsid w:val="0083452F"/>
    <w:rsid w:val="0084237C"/>
    <w:rsid w:val="00862F7C"/>
    <w:rsid w:val="008706AF"/>
    <w:rsid w:val="00875393"/>
    <w:rsid w:val="00877002"/>
    <w:rsid w:val="00890284"/>
    <w:rsid w:val="008A286A"/>
    <w:rsid w:val="008A4821"/>
    <w:rsid w:val="008A7149"/>
    <w:rsid w:val="008C342E"/>
    <w:rsid w:val="008D34FC"/>
    <w:rsid w:val="008D614F"/>
    <w:rsid w:val="008E27AA"/>
    <w:rsid w:val="008E7000"/>
    <w:rsid w:val="008F1A27"/>
    <w:rsid w:val="0091653B"/>
    <w:rsid w:val="00920398"/>
    <w:rsid w:val="00921694"/>
    <w:rsid w:val="009349FE"/>
    <w:rsid w:val="00935731"/>
    <w:rsid w:val="00944A75"/>
    <w:rsid w:val="00945DB7"/>
    <w:rsid w:val="009545E5"/>
    <w:rsid w:val="009668CA"/>
    <w:rsid w:val="00983214"/>
    <w:rsid w:val="0098443E"/>
    <w:rsid w:val="009903BB"/>
    <w:rsid w:val="009915FB"/>
    <w:rsid w:val="00994A2F"/>
    <w:rsid w:val="009B7748"/>
    <w:rsid w:val="009C5A37"/>
    <w:rsid w:val="009D1B38"/>
    <w:rsid w:val="009D7558"/>
    <w:rsid w:val="00A019A2"/>
    <w:rsid w:val="00A02688"/>
    <w:rsid w:val="00A05AC2"/>
    <w:rsid w:val="00A07C02"/>
    <w:rsid w:val="00A1469E"/>
    <w:rsid w:val="00A24CF5"/>
    <w:rsid w:val="00A302A9"/>
    <w:rsid w:val="00A315AE"/>
    <w:rsid w:val="00A334F7"/>
    <w:rsid w:val="00A3449F"/>
    <w:rsid w:val="00A34F75"/>
    <w:rsid w:val="00A36AAF"/>
    <w:rsid w:val="00A52572"/>
    <w:rsid w:val="00A62900"/>
    <w:rsid w:val="00A721AB"/>
    <w:rsid w:val="00A75879"/>
    <w:rsid w:val="00A76F38"/>
    <w:rsid w:val="00AA6C28"/>
    <w:rsid w:val="00AB140F"/>
    <w:rsid w:val="00AB17CE"/>
    <w:rsid w:val="00AC1FEB"/>
    <w:rsid w:val="00AD165B"/>
    <w:rsid w:val="00AE3523"/>
    <w:rsid w:val="00AF1613"/>
    <w:rsid w:val="00AF3DAE"/>
    <w:rsid w:val="00AF505B"/>
    <w:rsid w:val="00B14F17"/>
    <w:rsid w:val="00B160C5"/>
    <w:rsid w:val="00B305B1"/>
    <w:rsid w:val="00B41B59"/>
    <w:rsid w:val="00B601D0"/>
    <w:rsid w:val="00B70B51"/>
    <w:rsid w:val="00B962C9"/>
    <w:rsid w:val="00BA1D57"/>
    <w:rsid w:val="00BB2C75"/>
    <w:rsid w:val="00BC745F"/>
    <w:rsid w:val="00BD3EA7"/>
    <w:rsid w:val="00BD71F3"/>
    <w:rsid w:val="00BF01A6"/>
    <w:rsid w:val="00BF14F0"/>
    <w:rsid w:val="00BF4F5C"/>
    <w:rsid w:val="00C01445"/>
    <w:rsid w:val="00C126CC"/>
    <w:rsid w:val="00C15F93"/>
    <w:rsid w:val="00C4476B"/>
    <w:rsid w:val="00C459C9"/>
    <w:rsid w:val="00C63910"/>
    <w:rsid w:val="00C665D1"/>
    <w:rsid w:val="00C6728E"/>
    <w:rsid w:val="00C8108F"/>
    <w:rsid w:val="00C84683"/>
    <w:rsid w:val="00C9068A"/>
    <w:rsid w:val="00CA2CC6"/>
    <w:rsid w:val="00CC2B74"/>
    <w:rsid w:val="00CC4164"/>
    <w:rsid w:val="00CD2BED"/>
    <w:rsid w:val="00CE0D17"/>
    <w:rsid w:val="00CE2115"/>
    <w:rsid w:val="00CE2C44"/>
    <w:rsid w:val="00CE69ED"/>
    <w:rsid w:val="00CE76D9"/>
    <w:rsid w:val="00CF20B9"/>
    <w:rsid w:val="00CF2797"/>
    <w:rsid w:val="00CF5062"/>
    <w:rsid w:val="00CF63D7"/>
    <w:rsid w:val="00D15189"/>
    <w:rsid w:val="00D243AA"/>
    <w:rsid w:val="00D51A10"/>
    <w:rsid w:val="00D85082"/>
    <w:rsid w:val="00D86EB9"/>
    <w:rsid w:val="00D9121B"/>
    <w:rsid w:val="00D9226C"/>
    <w:rsid w:val="00D93F22"/>
    <w:rsid w:val="00DB17D9"/>
    <w:rsid w:val="00DC26F2"/>
    <w:rsid w:val="00DD589C"/>
    <w:rsid w:val="00DD6B85"/>
    <w:rsid w:val="00DE3392"/>
    <w:rsid w:val="00DF182D"/>
    <w:rsid w:val="00DF3E95"/>
    <w:rsid w:val="00E07ECE"/>
    <w:rsid w:val="00E20B92"/>
    <w:rsid w:val="00E275AB"/>
    <w:rsid w:val="00E35FBD"/>
    <w:rsid w:val="00E36276"/>
    <w:rsid w:val="00E36EB0"/>
    <w:rsid w:val="00E37B55"/>
    <w:rsid w:val="00E4103B"/>
    <w:rsid w:val="00E43C80"/>
    <w:rsid w:val="00E52394"/>
    <w:rsid w:val="00E532A0"/>
    <w:rsid w:val="00E61AA8"/>
    <w:rsid w:val="00E73989"/>
    <w:rsid w:val="00E752FF"/>
    <w:rsid w:val="00E76A7E"/>
    <w:rsid w:val="00E805DF"/>
    <w:rsid w:val="00E80B7C"/>
    <w:rsid w:val="00E863F7"/>
    <w:rsid w:val="00E92BA2"/>
    <w:rsid w:val="00EA11F3"/>
    <w:rsid w:val="00EB3928"/>
    <w:rsid w:val="00EC12F5"/>
    <w:rsid w:val="00EC3200"/>
    <w:rsid w:val="00EC4867"/>
    <w:rsid w:val="00EC60DA"/>
    <w:rsid w:val="00EC7108"/>
    <w:rsid w:val="00ED6F4A"/>
    <w:rsid w:val="00EF2074"/>
    <w:rsid w:val="00F416E2"/>
    <w:rsid w:val="00F44844"/>
    <w:rsid w:val="00F45AE5"/>
    <w:rsid w:val="00F476B7"/>
    <w:rsid w:val="00F70620"/>
    <w:rsid w:val="00F8416F"/>
    <w:rsid w:val="00F949D9"/>
    <w:rsid w:val="00FA463F"/>
    <w:rsid w:val="00FB5D3B"/>
    <w:rsid w:val="00FC1E91"/>
    <w:rsid w:val="00FC224E"/>
    <w:rsid w:val="00FF0743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33F0D0"/>
  <w14:defaultImageDpi w14:val="300"/>
  <w15:docId w15:val="{BE086078-A9F1-4C17-95C4-E206EFB1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0D17"/>
    <w:rPr>
      <w:rFonts w:ascii="Times New Roman" w:eastAsia="Times New Roman" w:hAnsi="Times New Roman"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D17"/>
    <w:pPr>
      <w:keepNext/>
      <w:numPr>
        <w:numId w:val="1"/>
      </w:numPr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0D1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0D17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0D17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0D17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0D17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0D17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E0D17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E0D17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D17"/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CE0D17"/>
    <w:rPr>
      <w:rFonts w:ascii="Arial" w:eastAsia="Times New Roman" w:hAnsi="Arial" w:cs="Arial"/>
      <w:b/>
      <w:bCs/>
      <w:i/>
      <w:iCs/>
      <w:sz w:val="28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CE0D17"/>
    <w:rPr>
      <w:rFonts w:ascii="Arial" w:eastAsia="Times New Roman" w:hAnsi="Arial" w:cs="Arial"/>
      <w:b/>
      <w:bCs/>
      <w:sz w:val="26"/>
      <w:szCs w:val="26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CE0D17"/>
    <w:rPr>
      <w:rFonts w:asciiTheme="majorHAnsi" w:eastAsiaTheme="majorEastAsia" w:hAnsiTheme="majorHAnsi" w:cstheme="majorBidi"/>
      <w:b/>
      <w:bCs/>
      <w:i/>
      <w:iCs/>
      <w:sz w:val="22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CE0D17"/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CE0D1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CE0D1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CE0D17"/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CE0D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paragraph" w:styleId="Header">
    <w:name w:val="header"/>
    <w:basedOn w:val="Normal"/>
    <w:link w:val="HeaderChar"/>
    <w:rsid w:val="00CE0D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E0D17"/>
    <w:rPr>
      <w:rFonts w:ascii="Times New Roman" w:eastAsia="Times New Roman" w:hAnsi="Times New Roman" w:cs="Times New Roman"/>
      <w:lang w:val="de-DE"/>
    </w:rPr>
  </w:style>
  <w:style w:type="paragraph" w:styleId="Footer">
    <w:name w:val="footer"/>
    <w:basedOn w:val="Normal"/>
    <w:link w:val="FooterChar"/>
    <w:rsid w:val="00CE0D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E0D17"/>
    <w:rPr>
      <w:rFonts w:ascii="Times New Roman" w:eastAsia="Times New Roman" w:hAnsi="Times New Roman" w:cs="Times New Roman"/>
      <w:lang w:val="de-DE"/>
    </w:rPr>
  </w:style>
  <w:style w:type="table" w:styleId="TableGrid">
    <w:name w:val="Table Grid"/>
    <w:basedOn w:val="TableNormal"/>
    <w:uiPriority w:val="59"/>
    <w:rsid w:val="00CE0D1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E0D17"/>
  </w:style>
  <w:style w:type="paragraph" w:styleId="TOC2">
    <w:name w:val="toc 2"/>
    <w:basedOn w:val="Normal"/>
    <w:next w:val="Normal"/>
    <w:autoRedefine/>
    <w:uiPriority w:val="39"/>
    <w:rsid w:val="00E37B55"/>
    <w:pPr>
      <w:tabs>
        <w:tab w:val="left" w:pos="780"/>
        <w:tab w:val="right" w:pos="9060"/>
      </w:tabs>
      <w:spacing w:line="276" w:lineRule="auto"/>
      <w:ind w:left="240"/>
    </w:pPr>
  </w:style>
  <w:style w:type="paragraph" w:styleId="TOC3">
    <w:name w:val="toc 3"/>
    <w:basedOn w:val="Normal"/>
    <w:next w:val="Normal"/>
    <w:autoRedefine/>
    <w:uiPriority w:val="39"/>
    <w:rsid w:val="00CE0D17"/>
    <w:pPr>
      <w:ind w:left="480"/>
    </w:pPr>
  </w:style>
  <w:style w:type="character" w:styleId="PageNumber">
    <w:name w:val="page number"/>
    <w:basedOn w:val="DefaultParagraphFont"/>
    <w:rsid w:val="00CE0D17"/>
  </w:style>
  <w:style w:type="paragraph" w:styleId="Title">
    <w:name w:val="Title"/>
    <w:basedOn w:val="Normal"/>
    <w:next w:val="Normal"/>
    <w:link w:val="TitleChar"/>
    <w:uiPriority w:val="10"/>
    <w:qFormat/>
    <w:rsid w:val="00CE0D17"/>
    <w:pPr>
      <w:spacing w:after="300"/>
      <w:contextualSpacing/>
    </w:pPr>
    <w:rPr>
      <w:rFonts w:ascii="Arial" w:hAnsi="Arial" w:cs="Arial"/>
      <w:b/>
      <w:color w:val="17365D"/>
      <w:spacing w:val="5"/>
      <w:kern w:val="28"/>
      <w:sz w:val="28"/>
      <w:szCs w:val="28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E0D17"/>
    <w:rPr>
      <w:rFonts w:ascii="Arial" w:eastAsia="Times New Roman" w:hAnsi="Arial" w:cs="Arial"/>
      <w:b/>
      <w:color w:val="17365D"/>
      <w:spacing w:val="5"/>
      <w:kern w:val="28"/>
      <w:sz w:val="28"/>
      <w:szCs w:val="28"/>
      <w:lang w:val="de-DE" w:eastAsia="en-US" w:bidi="en-US"/>
    </w:rPr>
  </w:style>
  <w:style w:type="character" w:customStyle="1" w:styleId="PlatzhalterZchn">
    <w:name w:val="Platzhalter Zchn"/>
    <w:link w:val="Platzhalter"/>
    <w:locked/>
    <w:rsid w:val="00CE0D17"/>
    <w:rPr>
      <w:rFonts w:ascii="Arial" w:hAnsi="Arial" w:cs="Arial"/>
      <w:b/>
      <w:i/>
      <w:szCs w:val="22"/>
      <w:lang w:eastAsia="en-US" w:bidi="en-US"/>
    </w:rPr>
  </w:style>
  <w:style w:type="paragraph" w:customStyle="1" w:styleId="Platzhalter">
    <w:name w:val="Platzhalter"/>
    <w:basedOn w:val="Normal"/>
    <w:link w:val="PlatzhalterZchn"/>
    <w:qFormat/>
    <w:rsid w:val="00CE0D17"/>
    <w:pPr>
      <w:spacing w:after="120" w:line="276" w:lineRule="auto"/>
    </w:pPr>
    <w:rPr>
      <w:rFonts w:ascii="Arial" w:eastAsiaTheme="minorEastAsia" w:hAnsi="Arial" w:cs="Arial"/>
      <w:b/>
      <w:i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CE0D1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lt">
    <w:name w:val="lt"/>
    <w:basedOn w:val="DefaultParagraphFont"/>
    <w:rsid w:val="00CE0D17"/>
  </w:style>
  <w:style w:type="paragraph" w:styleId="BalloonText">
    <w:name w:val="Balloon Text"/>
    <w:basedOn w:val="Normal"/>
    <w:link w:val="BalloonTextChar"/>
    <w:uiPriority w:val="99"/>
    <w:semiHidden/>
    <w:unhideWhenUsed/>
    <w:rsid w:val="00CE0D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17"/>
    <w:rPr>
      <w:rFonts w:ascii="Lucida Grande" w:eastAsia="Times New Roman" w:hAnsi="Lucida Grande" w:cs="Times New Roman"/>
      <w:sz w:val="18"/>
      <w:szCs w:val="18"/>
      <w:lang w:val="de-DE"/>
    </w:rPr>
  </w:style>
  <w:style w:type="character" w:styleId="CommentReference">
    <w:name w:val="annotation reference"/>
    <w:basedOn w:val="DefaultParagraphFont"/>
    <w:semiHidden/>
    <w:unhideWhenUsed/>
    <w:rsid w:val="004C53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5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5371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37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E37B55"/>
    <w:rPr>
      <w:rFonts w:ascii="Times New Roman" w:eastAsia="Times New Roman" w:hAnsi="Times New Roman" w:cs="Times New Roman"/>
      <w:lang w:val="de-DE"/>
    </w:rPr>
  </w:style>
  <w:style w:type="paragraph" w:customStyle="1" w:styleId="Default">
    <w:name w:val="Default"/>
    <w:rsid w:val="003A5AC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  <w:style w:type="paragraph" w:customStyle="1" w:styleId="CM4">
    <w:name w:val="CM4"/>
    <w:basedOn w:val="Default"/>
    <w:next w:val="Default"/>
    <w:uiPriority w:val="99"/>
    <w:rsid w:val="003A5AC5"/>
    <w:rPr>
      <w:color w:val="auto"/>
    </w:rPr>
  </w:style>
  <w:style w:type="character" w:styleId="Hyperlink">
    <w:name w:val="Hyperlink"/>
    <w:basedOn w:val="DefaultParagraphFont"/>
    <w:uiPriority w:val="99"/>
    <w:unhideWhenUsed/>
    <w:rsid w:val="001714F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134C7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8134C7"/>
    <w:rPr>
      <w:rFonts w:ascii="Times New Roman" w:eastAsia="Times New Roman" w:hAnsi="Times New Roman" w:cs="Times New Roman"/>
      <w:lang w:val="de-DE" w:eastAsia="ar-SA"/>
    </w:rPr>
  </w:style>
  <w:style w:type="character" w:styleId="PlaceholderText">
    <w:name w:val="Placeholder Text"/>
    <w:basedOn w:val="DefaultParagraphFont"/>
    <w:uiPriority w:val="99"/>
    <w:semiHidden/>
    <w:rsid w:val="00BF01A6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A3FB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76F3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76F3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76F3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Grid4">
    <w:name w:val="Table Grid4"/>
    <w:basedOn w:val="TableNormal"/>
    <w:next w:val="TableGrid"/>
    <w:uiPriority w:val="39"/>
    <w:rsid w:val="00697F7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B140F"/>
    <w:rPr>
      <w:rFonts w:ascii="Tahoma" w:eastAsia="Calibri" w:hAnsi="Tahoma" w:cs="Tahom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1910</Words>
  <Characters>10888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Egger-Adam</dc:creator>
  <cp:keywords/>
  <dc:description/>
  <cp:lastModifiedBy>Thirumalaisamy Velavan</cp:lastModifiedBy>
  <cp:revision>30</cp:revision>
  <cp:lastPrinted>2016-09-18T08:42:00Z</cp:lastPrinted>
  <dcterms:created xsi:type="dcterms:W3CDTF">2018-09-27T07:42:00Z</dcterms:created>
  <dcterms:modified xsi:type="dcterms:W3CDTF">2020-03-31T08:57:00Z</dcterms:modified>
</cp:coreProperties>
</file>