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3494"/>
      </w:tblGrid>
      <w:tr w:rsidR="00F73DD7" w:rsidRPr="001F67C7" w:rsidTr="00E4474C">
        <w:tc>
          <w:tcPr>
            <w:tcW w:w="5637" w:type="dxa"/>
            <w:shd w:val="clear" w:color="auto" w:fill="auto"/>
          </w:tcPr>
          <w:p w:rsidR="00F73DD7" w:rsidRPr="001F67C7" w:rsidRDefault="00F73DD7" w:rsidP="00E4474C">
            <w:pPr>
              <w:spacing w:after="0" w:line="240" w:lineRule="auto"/>
              <w:rPr>
                <w:rFonts w:cstheme="minorHAnsi"/>
                <w:b/>
              </w:rPr>
            </w:pPr>
            <w:r w:rsidRPr="001F67C7">
              <w:rPr>
                <w:rFonts w:cstheme="minorHAnsi"/>
                <w:b/>
              </w:rPr>
              <w:t>Authors:</w:t>
            </w:r>
          </w:p>
        </w:tc>
        <w:tc>
          <w:tcPr>
            <w:tcW w:w="3649" w:type="dxa"/>
            <w:vMerge w:val="restart"/>
            <w:shd w:val="clear" w:color="auto" w:fill="auto"/>
          </w:tcPr>
          <w:p w:rsidR="001F67C7" w:rsidRPr="001F67C7" w:rsidRDefault="001F67C7" w:rsidP="001F67C7">
            <w:pPr>
              <w:jc w:val="center"/>
              <w:rPr>
                <w:rFonts w:cstheme="minorHAnsi"/>
              </w:rPr>
            </w:pPr>
            <w:r w:rsidRPr="001F67C7">
              <w:rPr>
                <w:rFonts w:cstheme="minorHAnsi"/>
                <w:noProof/>
                <w:lang w:eastAsia="en-GB"/>
              </w:rPr>
              <w:drawing>
                <wp:inline distT="0" distB="0" distL="0" distR="0">
                  <wp:extent cx="1543050" cy="390525"/>
                  <wp:effectExtent l="0" t="0" r="0" b="9525"/>
                  <wp:docPr id="4" name="Picture 4" descr="U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rsidR="001F67C7" w:rsidRPr="001F67C7" w:rsidRDefault="001F67C7" w:rsidP="001F67C7">
            <w:pPr>
              <w:jc w:val="center"/>
              <w:rPr>
                <w:rFonts w:cstheme="minorHAnsi"/>
              </w:rPr>
            </w:pPr>
            <w:r w:rsidRPr="001F67C7">
              <w:rPr>
                <w:rFonts w:cstheme="minorHAnsi"/>
                <w:noProof/>
                <w:lang w:eastAsia="en-GB"/>
              </w:rPr>
              <w:drawing>
                <wp:inline distT="0" distB="0" distL="0" distR="0">
                  <wp:extent cx="1266825" cy="323850"/>
                  <wp:effectExtent l="0" t="0" r="9525" b="0"/>
                  <wp:docPr id="3" name="Picture 3" descr="PANDOR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ORA 1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323850"/>
                          </a:xfrm>
                          <a:prstGeom prst="rect">
                            <a:avLst/>
                          </a:prstGeom>
                          <a:noFill/>
                          <a:ln>
                            <a:noFill/>
                          </a:ln>
                        </pic:spPr>
                      </pic:pic>
                    </a:graphicData>
                  </a:graphic>
                </wp:inline>
              </w:drawing>
            </w:r>
          </w:p>
          <w:p w:rsidR="001F67C7" w:rsidRPr="001F67C7" w:rsidRDefault="001F67C7" w:rsidP="001F67C7">
            <w:pPr>
              <w:jc w:val="center"/>
              <w:rPr>
                <w:rFonts w:cstheme="minorHAnsi"/>
              </w:rPr>
            </w:pPr>
            <w:r w:rsidRPr="001F67C7">
              <w:rPr>
                <w:rFonts w:cstheme="minorHAnsi"/>
                <w:noProof/>
                <w:lang w:eastAsia="en-GB"/>
              </w:rPr>
              <w:drawing>
                <wp:inline distT="0" distB="0" distL="0" distR="0">
                  <wp:extent cx="1504950" cy="314325"/>
                  <wp:effectExtent l="0" t="0" r="0" b="9525"/>
                  <wp:docPr id="2" name="Picture 2" descr="C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314325"/>
                          </a:xfrm>
                          <a:prstGeom prst="rect">
                            <a:avLst/>
                          </a:prstGeom>
                          <a:noFill/>
                          <a:ln>
                            <a:noFill/>
                          </a:ln>
                        </pic:spPr>
                      </pic:pic>
                    </a:graphicData>
                  </a:graphic>
                </wp:inline>
              </w:drawing>
            </w:r>
          </w:p>
          <w:p w:rsidR="00F73DD7" w:rsidRPr="001F67C7" w:rsidRDefault="001F67C7" w:rsidP="001F67C7">
            <w:pPr>
              <w:spacing w:after="0" w:line="240" w:lineRule="auto"/>
              <w:jc w:val="center"/>
              <w:rPr>
                <w:rFonts w:cstheme="minorHAnsi"/>
              </w:rPr>
            </w:pPr>
            <w:r w:rsidRPr="001F67C7">
              <w:rPr>
                <w:rFonts w:cstheme="minorHAnsi"/>
                <w:noProof/>
                <w:lang w:eastAsia="en-GB"/>
              </w:rPr>
              <w:drawing>
                <wp:inline distT="0" distB="0" distL="0" distR="0">
                  <wp:extent cx="514350" cy="476250"/>
                  <wp:effectExtent l="0" t="0" r="0" b="0"/>
                  <wp:docPr id="1" name="Picture 1" descr="03-Red_ED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Red_EDCT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r>
      <w:tr w:rsidR="00F73DD7" w:rsidRPr="001F67C7" w:rsidTr="00E4474C">
        <w:tc>
          <w:tcPr>
            <w:tcW w:w="5637" w:type="dxa"/>
            <w:shd w:val="clear" w:color="auto" w:fill="auto"/>
          </w:tcPr>
          <w:p w:rsidR="00F73DD7" w:rsidRPr="001F67C7" w:rsidRDefault="00F73DD7" w:rsidP="00E4474C">
            <w:pPr>
              <w:spacing w:after="0" w:line="240" w:lineRule="auto"/>
              <w:rPr>
                <w:rFonts w:cstheme="minorHAnsi"/>
              </w:rPr>
            </w:pPr>
            <w:r w:rsidRPr="001F67C7">
              <w:rPr>
                <w:rFonts w:cstheme="minorHAnsi"/>
              </w:rPr>
              <w:t>Dr Linzy Elton, University College London, UK</w:t>
            </w:r>
          </w:p>
          <w:p w:rsidR="00F73DD7" w:rsidRPr="001F67C7" w:rsidRDefault="00F73DD7" w:rsidP="00E4474C">
            <w:pPr>
              <w:spacing w:after="0" w:line="240" w:lineRule="auto"/>
              <w:rPr>
                <w:rFonts w:cstheme="minorHAnsi"/>
              </w:rPr>
            </w:pPr>
            <w:r w:rsidRPr="001F67C7">
              <w:rPr>
                <w:rFonts w:cstheme="minorHAnsi"/>
              </w:rPr>
              <w:t>Alp Aydin</w:t>
            </w:r>
            <w:r w:rsidRPr="001F67C7">
              <w:rPr>
                <w:rFonts w:cstheme="minorHAnsi"/>
                <w:color w:val="000000"/>
              </w:rPr>
              <w:t xml:space="preserve">, </w:t>
            </w:r>
            <w:proofErr w:type="spellStart"/>
            <w:r w:rsidRPr="001F67C7">
              <w:rPr>
                <w:rFonts w:cstheme="minorHAnsi"/>
                <w:color w:val="000000"/>
              </w:rPr>
              <w:t>Quadram</w:t>
            </w:r>
            <w:proofErr w:type="spellEnd"/>
            <w:r w:rsidRPr="001F67C7">
              <w:rPr>
                <w:rFonts w:cstheme="minorHAnsi"/>
                <w:color w:val="000000"/>
              </w:rPr>
              <w:t xml:space="preserve"> Institute, UK</w:t>
            </w:r>
          </w:p>
          <w:p w:rsidR="00F73DD7" w:rsidRPr="001F67C7" w:rsidRDefault="00F73DD7" w:rsidP="00E4474C">
            <w:pPr>
              <w:spacing w:after="0" w:line="240" w:lineRule="auto"/>
              <w:rPr>
                <w:rFonts w:cstheme="minorHAnsi"/>
              </w:rPr>
            </w:pPr>
            <w:r w:rsidRPr="001F67C7">
              <w:rPr>
                <w:rFonts w:cstheme="minorHAnsi"/>
              </w:rPr>
              <w:t>Dewi Owen, University College London, UK</w:t>
            </w:r>
          </w:p>
          <w:p w:rsidR="00F73DD7" w:rsidRPr="001F67C7" w:rsidRDefault="00F73DD7" w:rsidP="00E4474C">
            <w:pPr>
              <w:spacing w:after="0" w:line="240" w:lineRule="auto"/>
              <w:rPr>
                <w:rFonts w:cstheme="minorHAnsi"/>
              </w:rPr>
            </w:pPr>
            <w:r w:rsidRPr="001F67C7">
              <w:rPr>
                <w:rFonts w:cstheme="minorHAnsi"/>
              </w:rPr>
              <w:t>Eloise Rose, University College London, UK</w:t>
            </w:r>
          </w:p>
        </w:tc>
        <w:tc>
          <w:tcPr>
            <w:tcW w:w="3649" w:type="dxa"/>
            <w:vMerge/>
            <w:shd w:val="clear" w:color="auto" w:fill="auto"/>
          </w:tcPr>
          <w:p w:rsidR="00F73DD7" w:rsidRPr="001F67C7" w:rsidRDefault="00F73DD7" w:rsidP="00E4474C">
            <w:pPr>
              <w:spacing w:after="0" w:line="240" w:lineRule="auto"/>
              <w:rPr>
                <w:rFonts w:cstheme="minorHAnsi"/>
              </w:rPr>
            </w:pPr>
          </w:p>
        </w:tc>
      </w:tr>
    </w:tbl>
    <w:p w:rsidR="00F73DD7" w:rsidRPr="001F67C7" w:rsidRDefault="00F73DD7" w:rsidP="004E726A">
      <w:pPr>
        <w:jc w:val="both"/>
        <w:rPr>
          <w:rFonts w:cstheme="minorHAnsi"/>
          <w:color w:val="0070C0"/>
        </w:rPr>
      </w:pPr>
    </w:p>
    <w:p w:rsidR="00AD7D3A" w:rsidRPr="001F67C7" w:rsidRDefault="00AD7D3A" w:rsidP="004E726A">
      <w:pPr>
        <w:jc w:val="both"/>
        <w:rPr>
          <w:rFonts w:cstheme="minorHAnsi"/>
          <w:color w:val="0070C0"/>
        </w:rPr>
      </w:pPr>
      <w:r w:rsidRPr="001F67C7">
        <w:rPr>
          <w:rFonts w:cstheme="minorHAnsi"/>
          <w:color w:val="0070C0"/>
        </w:rPr>
        <w:t>MinION flow cell wash protocol</w:t>
      </w:r>
    </w:p>
    <w:p w:rsidR="00F73DD7" w:rsidRPr="001F67C7" w:rsidRDefault="00F73DD7" w:rsidP="004E726A">
      <w:pPr>
        <w:jc w:val="both"/>
        <w:rPr>
          <w:rFonts w:cstheme="minorHAnsi"/>
          <w:color w:val="0070C0"/>
        </w:rPr>
      </w:pPr>
      <w:bookmarkStart w:id="0" w:name="_GoBack"/>
      <w:bookmarkEnd w:id="0"/>
    </w:p>
    <w:p w:rsidR="004E726A" w:rsidRPr="001F67C7" w:rsidRDefault="004E726A" w:rsidP="004E726A">
      <w:pPr>
        <w:jc w:val="both"/>
        <w:rPr>
          <w:rFonts w:cstheme="minorHAnsi"/>
        </w:rPr>
      </w:pPr>
      <w:r w:rsidRPr="001F67C7">
        <w:rPr>
          <w:rFonts w:cstheme="minorHAnsi"/>
        </w:rPr>
        <w:t>The Wash Kit provides a means of washing out and removing a library which has been loaded onto a flow cell. The flow cell can then be sto</w:t>
      </w:r>
      <w:r w:rsidR="00C00EE7" w:rsidRPr="001F67C7">
        <w:rPr>
          <w:rFonts w:cstheme="minorHAnsi"/>
        </w:rPr>
        <w:t>red until a new library is run.</w:t>
      </w:r>
    </w:p>
    <w:p w:rsidR="004E726A" w:rsidRPr="001F67C7" w:rsidRDefault="004E726A" w:rsidP="004E726A">
      <w:pPr>
        <w:jc w:val="both"/>
        <w:rPr>
          <w:rFonts w:cstheme="minorHAnsi"/>
        </w:rPr>
      </w:pPr>
      <w:r w:rsidRPr="001F67C7">
        <w:rPr>
          <w:rFonts w:cstheme="minorHAnsi"/>
        </w:rPr>
        <w:t>The washing procedure is a simple 2-step process and the kit contains buffers to remove the previous library and equilibrate for reuse or storage. There are sufficient reagents supplied for 12 washes.</w:t>
      </w:r>
    </w:p>
    <w:p w:rsidR="004E726A" w:rsidRPr="001F67C7" w:rsidRDefault="004E726A" w:rsidP="004E726A">
      <w:pPr>
        <w:jc w:val="both"/>
        <w:rPr>
          <w:rFonts w:cstheme="minorHAnsi"/>
        </w:rPr>
      </w:pPr>
      <w:r w:rsidRPr="001F67C7">
        <w:rPr>
          <w:rFonts w:cstheme="minorHAnsi"/>
        </w:rPr>
        <w:t>Analysis of sequence information on Oxford Nanopore platforms occurs in real time, and there is no fixed run-time of devices. This allows users to run their experiments until enough data has been collected to fulfil the need of the experiment. The run can be stopped and the sample washed out using the Wash Kit. The washed flow cell can be stored until another sample needs to be run. This allows users to run libraries on demand, without the need to batch and barcode samples together. However, some contamination from the previous sample is observed after using the Wash Kit. Therefore, it is recommended that when running multiple samples sequentially, the samples are barcoded to allow filtering of sequences from the remnants of previously run samples.</w:t>
      </w:r>
    </w:p>
    <w:p w:rsidR="00AA51F6" w:rsidRPr="001F67C7" w:rsidRDefault="00AA51F6" w:rsidP="004E726A">
      <w:pPr>
        <w:jc w:val="both"/>
        <w:rPr>
          <w:rFonts w:cstheme="minorHAnsi"/>
        </w:rPr>
      </w:pPr>
      <w:r w:rsidRPr="001F67C7">
        <w:rPr>
          <w:rFonts w:cstheme="minorHAnsi"/>
        </w:rPr>
        <w:t>The Flow Cell Wash Kit removes the majority of templates from the previous library, and cross-contamination is avoided by barcoding each library. Where barcoded libraries are sequentially run without washing in between flow cell loads, significant contamination is observed from the previously loaded sample (A). However, washing (and storing overnight, for example) the flow cell before loading the next sample shows that most of the previo</w:t>
      </w:r>
      <w:r w:rsidR="004E726A" w:rsidRPr="001F67C7">
        <w:rPr>
          <w:rFonts w:cstheme="minorHAnsi"/>
        </w:rPr>
        <w:t>us sample has been removed (B).</w:t>
      </w:r>
    </w:p>
    <w:p w:rsidR="00AA51F6" w:rsidRPr="001F67C7" w:rsidRDefault="00AA51F6" w:rsidP="004E726A">
      <w:pPr>
        <w:jc w:val="both"/>
        <w:rPr>
          <w:rFonts w:cstheme="minorHAnsi"/>
        </w:rPr>
      </w:pPr>
      <w:r w:rsidRPr="001F67C7">
        <w:rPr>
          <w:rFonts w:cstheme="minorHAnsi"/>
        </w:rPr>
        <w:t>Oxford Nanopore Technologies deem the useful life of the product to be 3 months from receipt by the customer.</w:t>
      </w:r>
    </w:p>
    <w:p w:rsidR="004E726A" w:rsidRPr="001F67C7" w:rsidRDefault="004E726A" w:rsidP="004E726A">
      <w:pPr>
        <w:jc w:val="both"/>
        <w:rPr>
          <w:rFonts w:cstheme="minorHAnsi"/>
        </w:rPr>
      </w:pPr>
      <w:r w:rsidRPr="001F67C7">
        <w:rPr>
          <w:rFonts w:cstheme="minorHAnsi"/>
        </w:rPr>
        <w:t>The Nanopore Flow Cell Wash kit contains:</w:t>
      </w:r>
    </w:p>
    <w:p w:rsidR="004E726A" w:rsidRPr="001F67C7" w:rsidRDefault="004E726A" w:rsidP="004E726A">
      <w:pPr>
        <w:pStyle w:val="ListParagraph"/>
        <w:numPr>
          <w:ilvl w:val="0"/>
          <w:numId w:val="3"/>
        </w:numPr>
        <w:jc w:val="both"/>
        <w:rPr>
          <w:rFonts w:cstheme="minorHAnsi"/>
        </w:rPr>
      </w:pPr>
      <w:r w:rsidRPr="001F67C7">
        <w:rPr>
          <w:rFonts w:cstheme="minorHAnsi"/>
        </w:rPr>
        <w:t xml:space="preserve">Wash Buffer A </w:t>
      </w:r>
      <w:r w:rsidR="00BD2749" w:rsidRPr="001F67C7">
        <w:rPr>
          <w:rFonts w:cstheme="minorHAnsi"/>
        </w:rPr>
        <w:t xml:space="preserve">(0.5 ml) </w:t>
      </w:r>
    </w:p>
    <w:p w:rsidR="004E726A" w:rsidRPr="001F67C7" w:rsidRDefault="004E726A" w:rsidP="004E726A">
      <w:pPr>
        <w:pStyle w:val="ListParagraph"/>
        <w:numPr>
          <w:ilvl w:val="0"/>
          <w:numId w:val="3"/>
        </w:numPr>
        <w:jc w:val="both"/>
        <w:rPr>
          <w:rFonts w:cstheme="minorHAnsi"/>
        </w:rPr>
      </w:pPr>
      <w:r w:rsidRPr="001F67C7">
        <w:rPr>
          <w:rFonts w:cstheme="minorHAnsi"/>
        </w:rPr>
        <w:t xml:space="preserve">Wash Buffer B </w:t>
      </w:r>
      <w:r w:rsidR="00BD2749" w:rsidRPr="001F67C7">
        <w:rPr>
          <w:rFonts w:cstheme="minorHAnsi"/>
        </w:rPr>
        <w:t>(1 ml)</w:t>
      </w:r>
    </w:p>
    <w:p w:rsidR="00C00EE7" w:rsidRPr="001F67C7" w:rsidRDefault="004E726A" w:rsidP="00BD2749">
      <w:pPr>
        <w:pStyle w:val="ListParagraph"/>
        <w:numPr>
          <w:ilvl w:val="0"/>
          <w:numId w:val="3"/>
        </w:numPr>
        <w:jc w:val="both"/>
        <w:rPr>
          <w:rFonts w:cstheme="minorHAnsi"/>
        </w:rPr>
      </w:pPr>
      <w:r w:rsidRPr="001F67C7">
        <w:rPr>
          <w:rFonts w:cstheme="minorHAnsi"/>
        </w:rPr>
        <w:t>Storage Buffer (1.6 ml)</w:t>
      </w:r>
    </w:p>
    <w:p w:rsidR="004E726A" w:rsidRPr="001F67C7" w:rsidRDefault="00C00EE7" w:rsidP="00C00EE7">
      <w:pPr>
        <w:ind w:left="360"/>
        <w:jc w:val="both"/>
        <w:rPr>
          <w:rFonts w:cstheme="minorHAnsi"/>
        </w:rPr>
      </w:pPr>
      <w:r w:rsidRPr="001F67C7">
        <w:rPr>
          <w:rFonts w:cstheme="minorHAnsi"/>
        </w:rPr>
        <w:t>*this protocol is to be done immediately after sequencing*</w:t>
      </w:r>
    </w:p>
    <w:p w:rsidR="00AA51F6" w:rsidRPr="001F67C7" w:rsidRDefault="00AA51F6" w:rsidP="004E726A">
      <w:pPr>
        <w:pStyle w:val="ListParagraph"/>
        <w:numPr>
          <w:ilvl w:val="0"/>
          <w:numId w:val="1"/>
        </w:numPr>
        <w:jc w:val="both"/>
        <w:rPr>
          <w:rFonts w:cstheme="minorHAnsi"/>
        </w:rPr>
      </w:pPr>
      <w:r w:rsidRPr="001F67C7">
        <w:rPr>
          <w:rFonts w:cstheme="minorHAnsi"/>
        </w:rPr>
        <w:lastRenderedPageBreak/>
        <w:t>Vortex</w:t>
      </w:r>
      <w:r w:rsidR="00B65A98" w:rsidRPr="001F67C7">
        <w:rPr>
          <w:rFonts w:cstheme="minorHAnsi"/>
        </w:rPr>
        <w:t xml:space="preserve"> wash buffer A and storage buffer (S)</w:t>
      </w:r>
    </w:p>
    <w:p w:rsidR="00AA51F6" w:rsidRPr="001F67C7" w:rsidRDefault="00AA51F6" w:rsidP="004E726A">
      <w:pPr>
        <w:pStyle w:val="ListParagraph"/>
        <w:numPr>
          <w:ilvl w:val="0"/>
          <w:numId w:val="1"/>
        </w:numPr>
        <w:jc w:val="both"/>
        <w:rPr>
          <w:rFonts w:cstheme="minorHAnsi"/>
        </w:rPr>
      </w:pPr>
      <w:r w:rsidRPr="001F67C7">
        <w:rPr>
          <w:rFonts w:cstheme="minorHAnsi"/>
        </w:rPr>
        <w:t>Remove the USB from the MinION device, but keep the flow cell in place</w:t>
      </w:r>
    </w:p>
    <w:p w:rsidR="00AA51F6" w:rsidRPr="001F67C7" w:rsidRDefault="00AA51F6" w:rsidP="004E726A">
      <w:pPr>
        <w:pStyle w:val="ListParagraph"/>
        <w:numPr>
          <w:ilvl w:val="0"/>
          <w:numId w:val="1"/>
        </w:numPr>
        <w:jc w:val="both"/>
        <w:rPr>
          <w:rFonts w:cstheme="minorHAnsi"/>
        </w:rPr>
      </w:pPr>
      <w:r w:rsidRPr="001F67C7">
        <w:rPr>
          <w:rFonts w:cstheme="minorHAnsi"/>
        </w:rPr>
        <w:t xml:space="preserve">Open the </w:t>
      </w:r>
      <w:r w:rsidRPr="001F67C7">
        <w:rPr>
          <w:rFonts w:cstheme="minorHAnsi"/>
          <w:b/>
        </w:rPr>
        <w:t>priming port</w:t>
      </w:r>
    </w:p>
    <w:p w:rsidR="00AA51F6" w:rsidRPr="001F67C7" w:rsidRDefault="00B65A98" w:rsidP="00757F11">
      <w:pPr>
        <w:pStyle w:val="ListParagraph"/>
        <w:numPr>
          <w:ilvl w:val="0"/>
          <w:numId w:val="1"/>
        </w:numPr>
        <w:jc w:val="both"/>
        <w:rPr>
          <w:rFonts w:cstheme="minorHAnsi"/>
        </w:rPr>
      </w:pPr>
      <w:r w:rsidRPr="001F67C7">
        <w:rPr>
          <w:rFonts w:cstheme="minorHAnsi"/>
        </w:rPr>
        <w:t xml:space="preserve">Slowly remove all of the waste from the </w:t>
      </w:r>
      <w:r w:rsidRPr="001F67C7">
        <w:rPr>
          <w:rFonts w:cstheme="minorHAnsi"/>
          <w:b/>
        </w:rPr>
        <w:t xml:space="preserve">waste port </w:t>
      </w:r>
      <w:r w:rsidRPr="001F67C7">
        <w:rPr>
          <w:rFonts w:cstheme="minorHAnsi"/>
        </w:rPr>
        <w:t>a</w:t>
      </w:r>
      <w:r w:rsidR="00AA51F6" w:rsidRPr="001F67C7">
        <w:rPr>
          <w:rFonts w:cstheme="minorHAnsi"/>
        </w:rPr>
        <w:t>nd discard</w:t>
      </w:r>
    </w:p>
    <w:p w:rsidR="00BD2749" w:rsidRPr="001F67C7" w:rsidRDefault="00BD2749" w:rsidP="004E726A">
      <w:pPr>
        <w:pStyle w:val="ListParagraph"/>
        <w:numPr>
          <w:ilvl w:val="0"/>
          <w:numId w:val="1"/>
        </w:numPr>
        <w:jc w:val="both"/>
        <w:rPr>
          <w:rFonts w:cstheme="minorHAnsi"/>
        </w:rPr>
      </w:pPr>
      <w:r w:rsidRPr="001F67C7">
        <w:rPr>
          <w:rFonts w:cstheme="minorHAnsi"/>
        </w:rPr>
        <w:t xml:space="preserve">Make up wash buffer solution </w:t>
      </w:r>
      <w:r w:rsidRPr="001F67C7">
        <w:rPr>
          <w:rFonts w:cstheme="minorHAnsi"/>
          <w:b/>
        </w:rPr>
        <w:t xml:space="preserve">(20ul wash buffer A, 380 </w:t>
      </w:r>
      <w:proofErr w:type="spellStart"/>
      <w:r w:rsidRPr="001F67C7">
        <w:rPr>
          <w:rFonts w:cstheme="minorHAnsi"/>
          <w:b/>
        </w:rPr>
        <w:t>ul</w:t>
      </w:r>
      <w:proofErr w:type="spellEnd"/>
      <w:r w:rsidRPr="001F67C7">
        <w:rPr>
          <w:rFonts w:cstheme="minorHAnsi"/>
          <w:b/>
        </w:rPr>
        <w:t xml:space="preserve"> wash buffer B, mixed)</w:t>
      </w:r>
    </w:p>
    <w:p w:rsidR="00AA51F6" w:rsidRPr="001F67C7" w:rsidRDefault="00AA51F6" w:rsidP="004E726A">
      <w:pPr>
        <w:pStyle w:val="ListParagraph"/>
        <w:numPr>
          <w:ilvl w:val="0"/>
          <w:numId w:val="1"/>
        </w:numPr>
        <w:jc w:val="both"/>
        <w:rPr>
          <w:rFonts w:cstheme="minorHAnsi"/>
        </w:rPr>
      </w:pPr>
      <w:r w:rsidRPr="001F67C7">
        <w:rPr>
          <w:rFonts w:cstheme="minorHAnsi"/>
        </w:rPr>
        <w:t xml:space="preserve">Slowly add </w:t>
      </w:r>
      <w:r w:rsidR="00BD2749" w:rsidRPr="001F67C7">
        <w:rPr>
          <w:rFonts w:cstheme="minorHAnsi"/>
        </w:rPr>
        <w:t>400</w:t>
      </w:r>
      <w:r w:rsidRPr="001F67C7">
        <w:rPr>
          <w:rFonts w:cstheme="minorHAnsi"/>
        </w:rPr>
        <w:t xml:space="preserve"> µl </w:t>
      </w:r>
      <w:r w:rsidR="00B65A98" w:rsidRPr="001F67C7">
        <w:rPr>
          <w:rFonts w:cstheme="minorHAnsi"/>
          <w:b/>
        </w:rPr>
        <w:t xml:space="preserve">wash </w:t>
      </w:r>
      <w:r w:rsidR="00BD2749" w:rsidRPr="001F67C7">
        <w:rPr>
          <w:rFonts w:cstheme="minorHAnsi"/>
          <w:b/>
        </w:rPr>
        <w:t>solution</w:t>
      </w:r>
      <w:r w:rsidRPr="001F67C7">
        <w:rPr>
          <w:rFonts w:cstheme="minorHAnsi"/>
        </w:rPr>
        <w:t xml:space="preserve"> into </w:t>
      </w:r>
      <w:r w:rsidRPr="001F67C7">
        <w:rPr>
          <w:rFonts w:cstheme="minorHAnsi"/>
          <w:b/>
        </w:rPr>
        <w:t>priming port</w:t>
      </w:r>
      <w:r w:rsidR="000A0D13" w:rsidRPr="001F67C7">
        <w:rPr>
          <w:rFonts w:cstheme="minorHAnsi"/>
          <w:b/>
        </w:rPr>
        <w:t xml:space="preserve"> </w:t>
      </w:r>
    </w:p>
    <w:p w:rsidR="00AA51F6" w:rsidRPr="001F67C7" w:rsidRDefault="00B65A98" w:rsidP="004E726A">
      <w:pPr>
        <w:pStyle w:val="ListParagraph"/>
        <w:numPr>
          <w:ilvl w:val="0"/>
          <w:numId w:val="1"/>
        </w:numPr>
        <w:jc w:val="both"/>
        <w:rPr>
          <w:rFonts w:cstheme="minorHAnsi"/>
        </w:rPr>
      </w:pPr>
      <w:r w:rsidRPr="001F67C7">
        <w:rPr>
          <w:rFonts w:cstheme="minorHAnsi"/>
        </w:rPr>
        <w:t>Incubate</w:t>
      </w:r>
      <w:r w:rsidR="00AA51F6" w:rsidRPr="001F67C7">
        <w:rPr>
          <w:rFonts w:cstheme="minorHAnsi"/>
        </w:rPr>
        <w:t xml:space="preserve"> at room temperature for 10 minutes</w:t>
      </w:r>
      <w:r w:rsidR="000A0D13" w:rsidRPr="001F67C7">
        <w:rPr>
          <w:rFonts w:cstheme="minorHAnsi"/>
        </w:rPr>
        <w:t xml:space="preserve"> (</w:t>
      </w:r>
      <w:r w:rsidR="00BD2749" w:rsidRPr="001F67C7">
        <w:rPr>
          <w:rFonts w:cstheme="minorHAnsi"/>
        </w:rPr>
        <w:t>ideally</w:t>
      </w:r>
      <w:r w:rsidR="000A0D13" w:rsidRPr="001F67C7">
        <w:rPr>
          <w:rFonts w:cstheme="minorHAnsi"/>
        </w:rPr>
        <w:t xml:space="preserve"> an hour)</w:t>
      </w:r>
    </w:p>
    <w:p w:rsidR="00AA51F6" w:rsidRPr="001F67C7" w:rsidRDefault="00AA51F6" w:rsidP="004E726A">
      <w:pPr>
        <w:pStyle w:val="ListParagraph"/>
        <w:numPr>
          <w:ilvl w:val="0"/>
          <w:numId w:val="1"/>
        </w:numPr>
        <w:jc w:val="both"/>
        <w:rPr>
          <w:rFonts w:cstheme="minorHAnsi"/>
        </w:rPr>
      </w:pPr>
      <w:r w:rsidRPr="001F67C7">
        <w:rPr>
          <w:rFonts w:cstheme="minorHAnsi"/>
        </w:rPr>
        <w:t>Add 500 µ</w:t>
      </w:r>
      <w:r w:rsidR="00B65A98" w:rsidRPr="001F67C7">
        <w:rPr>
          <w:rFonts w:cstheme="minorHAnsi"/>
        </w:rPr>
        <w:t xml:space="preserve">l </w:t>
      </w:r>
      <w:r w:rsidR="00B65A98" w:rsidRPr="001F67C7">
        <w:rPr>
          <w:rFonts w:cstheme="minorHAnsi"/>
          <w:b/>
        </w:rPr>
        <w:t>storage buffer (S)</w:t>
      </w:r>
      <w:r w:rsidRPr="001F67C7">
        <w:rPr>
          <w:rFonts w:cstheme="minorHAnsi"/>
        </w:rPr>
        <w:t xml:space="preserve"> into the priming port</w:t>
      </w:r>
    </w:p>
    <w:p w:rsidR="00B65A98" w:rsidRPr="001F67C7" w:rsidRDefault="00B65A98" w:rsidP="004E726A">
      <w:pPr>
        <w:pStyle w:val="ListParagraph"/>
        <w:numPr>
          <w:ilvl w:val="0"/>
          <w:numId w:val="1"/>
        </w:numPr>
        <w:jc w:val="both"/>
        <w:rPr>
          <w:rFonts w:cstheme="minorHAnsi"/>
        </w:rPr>
      </w:pPr>
      <w:r w:rsidRPr="001F67C7">
        <w:rPr>
          <w:rFonts w:cstheme="minorHAnsi"/>
        </w:rPr>
        <w:t>Store at 4-8°C</w:t>
      </w:r>
    </w:p>
    <w:p w:rsidR="00B65A98" w:rsidRPr="001F67C7" w:rsidRDefault="00B65A98" w:rsidP="004E726A">
      <w:pPr>
        <w:pStyle w:val="ListParagraph"/>
        <w:numPr>
          <w:ilvl w:val="0"/>
          <w:numId w:val="1"/>
        </w:numPr>
        <w:jc w:val="both"/>
        <w:rPr>
          <w:rFonts w:cstheme="minorHAnsi"/>
        </w:rPr>
      </w:pPr>
      <w:r w:rsidRPr="001F67C7">
        <w:rPr>
          <w:rFonts w:cstheme="minorHAnsi"/>
        </w:rPr>
        <w:t>You must QC the flow cell before using again to ensure a suitable number of active pores</w:t>
      </w:r>
    </w:p>
    <w:p w:rsidR="00AD7D3A" w:rsidRPr="001F67C7" w:rsidRDefault="00AD7D3A" w:rsidP="004E726A">
      <w:pPr>
        <w:jc w:val="both"/>
        <w:rPr>
          <w:rFonts w:cstheme="minorHAnsi"/>
        </w:rPr>
      </w:pPr>
    </w:p>
    <w:p w:rsidR="00AD7D3A" w:rsidRPr="001F67C7" w:rsidRDefault="00AD7D3A" w:rsidP="004E726A">
      <w:pPr>
        <w:jc w:val="both"/>
        <w:rPr>
          <w:rFonts w:cstheme="minorHAnsi"/>
        </w:rPr>
      </w:pPr>
    </w:p>
    <w:sectPr w:rsidR="00AD7D3A" w:rsidRPr="001F6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2CD4"/>
    <w:multiLevelType w:val="hybridMultilevel"/>
    <w:tmpl w:val="E2D47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5A342D"/>
    <w:multiLevelType w:val="hybridMultilevel"/>
    <w:tmpl w:val="9DCA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9137C"/>
    <w:multiLevelType w:val="hybridMultilevel"/>
    <w:tmpl w:val="48A6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3A"/>
    <w:rsid w:val="000A0D13"/>
    <w:rsid w:val="000A3923"/>
    <w:rsid w:val="001F67C7"/>
    <w:rsid w:val="00346336"/>
    <w:rsid w:val="004E726A"/>
    <w:rsid w:val="005A3FCB"/>
    <w:rsid w:val="007729EA"/>
    <w:rsid w:val="008E21DA"/>
    <w:rsid w:val="0094420A"/>
    <w:rsid w:val="009A11C9"/>
    <w:rsid w:val="00AA51F6"/>
    <w:rsid w:val="00AD7D3A"/>
    <w:rsid w:val="00B65A98"/>
    <w:rsid w:val="00B753D6"/>
    <w:rsid w:val="00BD2749"/>
    <w:rsid w:val="00C00EE7"/>
    <w:rsid w:val="00D86FBD"/>
    <w:rsid w:val="00F7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B531"/>
  <w15:chartTrackingRefBased/>
  <w15:docId w15:val="{63E03C5B-B480-49D8-8168-EF71B081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F6"/>
    <w:pPr>
      <w:ind w:left="720"/>
      <w:contextualSpacing/>
    </w:pPr>
  </w:style>
  <w:style w:type="character" w:styleId="PlaceholderText">
    <w:name w:val="Placeholder Text"/>
    <w:basedOn w:val="DefaultParagraphFont"/>
    <w:uiPriority w:val="99"/>
    <w:semiHidden/>
    <w:rsid w:val="00B65A98"/>
    <w:rPr>
      <w:color w:val="808080"/>
    </w:rPr>
  </w:style>
  <w:style w:type="paragraph" w:customStyle="1" w:styleId="Char1Char">
    <w:name w:val=" Char1 Char"/>
    <w:basedOn w:val="Normal"/>
    <w:rsid w:val="001F67C7"/>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 Elton</dc:creator>
  <cp:keywords/>
  <dc:description/>
  <cp:lastModifiedBy>Eloise Rose</cp:lastModifiedBy>
  <cp:revision>3</cp:revision>
  <dcterms:created xsi:type="dcterms:W3CDTF">2020-09-21T16:32:00Z</dcterms:created>
  <dcterms:modified xsi:type="dcterms:W3CDTF">2020-09-28T14:38:00Z</dcterms:modified>
</cp:coreProperties>
</file>