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BA" w:rsidRDefault="00533FBA"/>
    <w:tbl>
      <w:tblPr>
        <w:tblpPr w:leftFromText="180" w:rightFromText="180" w:vertAnchor="page" w:horzAnchor="margin" w:tblpXSpec="center" w:tblpY="3241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4"/>
        <w:gridCol w:w="3510"/>
        <w:gridCol w:w="180"/>
        <w:gridCol w:w="1420"/>
        <w:gridCol w:w="1700"/>
      </w:tblGrid>
      <w:tr w:rsidR="00533FBA" w:rsidTr="00400BAE">
        <w:trPr>
          <w:cantSplit/>
          <w:trHeight w:val="1414"/>
        </w:trPr>
        <w:tc>
          <w:tcPr>
            <w:tcW w:w="6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33FBA" w:rsidRPr="00493360" w:rsidRDefault="00533FBA" w:rsidP="00400BAE">
            <w:pPr>
              <w:rPr>
                <w:b/>
              </w:rPr>
            </w:pPr>
          </w:p>
          <w:p w:rsidR="00533FBA" w:rsidRPr="00493360" w:rsidRDefault="00533FBA" w:rsidP="00400BAE">
            <w:pPr>
              <w:jc w:val="center"/>
              <w:rPr>
                <w:b/>
              </w:rPr>
            </w:pPr>
            <w:r w:rsidRPr="00493360">
              <w:rPr>
                <w:b/>
              </w:rPr>
              <w:drawing>
                <wp:inline distT="0" distB="0" distL="0" distR="0" wp14:anchorId="73D7812B" wp14:editId="2D834FE0">
                  <wp:extent cx="1407277" cy="836101"/>
                  <wp:effectExtent l="0" t="0" r="0" b="0"/>
                  <wp:docPr id="13" name="Picture 13" descr="TGHN-256x151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GHN-256x151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00" cy="840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3FBA" w:rsidRPr="00493360" w:rsidRDefault="00533FBA" w:rsidP="00400BAE">
            <w:pPr>
              <w:jc w:val="center"/>
              <w:rPr>
                <w:b/>
              </w:rPr>
            </w:pPr>
            <w:r>
              <w:rPr>
                <w:b/>
              </w:rPr>
              <w:t>Standard Operating Procedure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33FBA" w:rsidRPr="00493360" w:rsidRDefault="00533FBA" w:rsidP="00400BAE">
            <w:pPr>
              <w:rPr>
                <w:b/>
              </w:rPr>
            </w:pPr>
          </w:p>
          <w:p w:rsidR="00533FBA" w:rsidRPr="00493360" w:rsidRDefault="00533FBA" w:rsidP="00400BAE">
            <w:pPr>
              <w:rPr>
                <w:b/>
              </w:rPr>
            </w:pPr>
            <w:r w:rsidRPr="00493360">
              <w:rPr>
                <w:b/>
              </w:rPr>
              <w:t xml:space="preserve">SOP No: </w:t>
            </w:r>
          </w:p>
          <w:p w:rsidR="00533FBA" w:rsidRPr="00493360" w:rsidRDefault="00533FBA" w:rsidP="00400BAE">
            <w:pPr>
              <w:rPr>
                <w:b/>
              </w:rPr>
            </w:pPr>
            <w:r w:rsidRPr="00493360">
              <w:rPr>
                <w:b/>
              </w:rPr>
              <w:t>Version: 1</w:t>
            </w:r>
          </w:p>
          <w:p w:rsidR="00533FBA" w:rsidRPr="00493360" w:rsidRDefault="00533FBA" w:rsidP="00400BAE">
            <w:pPr>
              <w:rPr>
                <w:b/>
              </w:rPr>
            </w:pPr>
            <w:r w:rsidRPr="00493360">
              <w:rPr>
                <w:b/>
              </w:rPr>
              <w:t xml:space="preserve">Effective Date: </w:t>
            </w:r>
          </w:p>
        </w:tc>
      </w:tr>
      <w:tr w:rsidR="00533FBA" w:rsidTr="00400BAE">
        <w:trPr>
          <w:trHeight w:val="398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BA" w:rsidRPr="00493360" w:rsidRDefault="00533FBA" w:rsidP="00533FBA">
            <w:pPr>
              <w:rPr>
                <w:b/>
              </w:rPr>
            </w:pPr>
            <w:r w:rsidRPr="00493360">
              <w:rPr>
                <w:b/>
              </w:rPr>
              <w:t xml:space="preserve">Title:   </w:t>
            </w:r>
            <w:r>
              <w:rPr>
                <w:b/>
              </w:rPr>
              <w:t>Recruiting Study Subjects</w:t>
            </w:r>
          </w:p>
        </w:tc>
      </w:tr>
      <w:tr w:rsidR="00533FBA" w:rsidTr="00400BAE">
        <w:trPr>
          <w:cantSplit/>
          <w:trHeight w:val="398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FBA" w:rsidRPr="00210935" w:rsidRDefault="00533FBA" w:rsidP="00400BAE">
            <w:pPr>
              <w:tabs>
                <w:tab w:val="left" w:pos="8985"/>
              </w:tabs>
              <w:rPr>
                <w:b/>
              </w:rPr>
            </w:pPr>
            <w:r w:rsidRPr="00210935">
              <w:rPr>
                <w:b/>
              </w:rPr>
              <w:tab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FBA" w:rsidRPr="00210935" w:rsidRDefault="00533FBA" w:rsidP="00400BAE">
            <w:pPr>
              <w:pStyle w:val="Heading3"/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</w:pPr>
            <w:r w:rsidRPr="00210935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>NAME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FBA" w:rsidRPr="00210935" w:rsidRDefault="00533FBA" w:rsidP="00400BAE">
            <w:pPr>
              <w:jc w:val="center"/>
              <w:rPr>
                <w:b/>
              </w:rPr>
            </w:pPr>
            <w:r w:rsidRPr="00210935">
              <w:rPr>
                <w:b/>
              </w:rPr>
              <w:t>SIGNATURE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FBA" w:rsidRPr="00210935" w:rsidRDefault="00533FBA" w:rsidP="00400BAE">
            <w:pPr>
              <w:jc w:val="center"/>
              <w:rPr>
                <w:b/>
              </w:rPr>
            </w:pPr>
            <w:r w:rsidRPr="00210935">
              <w:rPr>
                <w:b/>
              </w:rPr>
              <w:t>DATE</w:t>
            </w:r>
          </w:p>
        </w:tc>
      </w:tr>
      <w:tr w:rsidR="00533FBA" w:rsidTr="00400BAE">
        <w:trPr>
          <w:cantSplit/>
          <w:trHeight w:val="398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FBA" w:rsidRPr="00615AFA" w:rsidRDefault="00533FBA" w:rsidP="00400BAE">
            <w:pPr>
              <w:tabs>
                <w:tab w:val="left" w:pos="8985"/>
              </w:tabs>
              <w:jc w:val="center"/>
              <w:rPr>
                <w:b/>
              </w:rPr>
            </w:pPr>
            <w:r w:rsidRPr="00615AFA">
              <w:rPr>
                <w:b/>
              </w:rPr>
              <w:t>PREPARED BY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FBA" w:rsidRPr="00615AFA" w:rsidRDefault="00533FBA" w:rsidP="00400BAE">
            <w:pPr>
              <w:pStyle w:val="Heading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FBA" w:rsidRPr="00615AFA" w:rsidRDefault="00533FBA" w:rsidP="00400BAE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FBA" w:rsidRPr="00615AFA" w:rsidRDefault="00533FBA" w:rsidP="00400BAE">
            <w:pPr>
              <w:jc w:val="center"/>
            </w:pPr>
          </w:p>
        </w:tc>
      </w:tr>
      <w:tr w:rsidR="00533FBA" w:rsidTr="00400BAE">
        <w:trPr>
          <w:cantSplit/>
          <w:trHeight w:val="398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FBA" w:rsidRPr="00615AFA" w:rsidRDefault="00533FBA" w:rsidP="00400BAE">
            <w:pPr>
              <w:tabs>
                <w:tab w:val="left" w:pos="8985"/>
              </w:tabs>
              <w:jc w:val="center"/>
              <w:rPr>
                <w:b/>
              </w:rPr>
            </w:pPr>
            <w:r w:rsidRPr="00615AFA">
              <w:rPr>
                <w:b/>
              </w:rPr>
              <w:t>REVIEWED BY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FBA" w:rsidRPr="00615AFA" w:rsidRDefault="00533FBA" w:rsidP="00400BAE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FBA" w:rsidRPr="00615AFA" w:rsidRDefault="00533FBA" w:rsidP="00400BAE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FBA" w:rsidRPr="00615AFA" w:rsidRDefault="00533FBA" w:rsidP="00400BAE">
            <w:pPr>
              <w:jc w:val="center"/>
            </w:pPr>
          </w:p>
        </w:tc>
      </w:tr>
      <w:tr w:rsidR="00533FBA" w:rsidTr="00400BAE">
        <w:trPr>
          <w:cantSplit/>
          <w:trHeight w:val="398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FBA" w:rsidRPr="00615AFA" w:rsidRDefault="00533FBA" w:rsidP="00400BAE">
            <w:pPr>
              <w:tabs>
                <w:tab w:val="left" w:pos="8985"/>
              </w:tabs>
              <w:jc w:val="center"/>
              <w:rPr>
                <w:b/>
              </w:rPr>
            </w:pPr>
            <w:r w:rsidRPr="00615AFA">
              <w:rPr>
                <w:b/>
              </w:rPr>
              <w:t>QA UNIT</w:t>
            </w:r>
          </w:p>
          <w:p w:rsidR="00533FBA" w:rsidRPr="00615AFA" w:rsidRDefault="00533FBA" w:rsidP="00400BAE">
            <w:pPr>
              <w:tabs>
                <w:tab w:val="left" w:pos="8985"/>
              </w:tabs>
              <w:jc w:val="center"/>
              <w:rPr>
                <w:b/>
              </w:rPr>
            </w:pPr>
            <w:r w:rsidRPr="00615AFA">
              <w:rPr>
                <w:b/>
              </w:rPr>
              <w:t>AUTHORITY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FBA" w:rsidRPr="00615AFA" w:rsidRDefault="00533FBA" w:rsidP="00400BAE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FBA" w:rsidRPr="00615AFA" w:rsidRDefault="00533FBA" w:rsidP="00400BAE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FBA" w:rsidRPr="00615AFA" w:rsidRDefault="00533FBA" w:rsidP="00400BAE">
            <w:pPr>
              <w:jc w:val="center"/>
            </w:pPr>
          </w:p>
        </w:tc>
      </w:tr>
      <w:tr w:rsidR="00533FBA" w:rsidTr="00400BAE">
        <w:trPr>
          <w:cantSplit/>
          <w:trHeight w:val="398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FBA" w:rsidRPr="00615AFA" w:rsidRDefault="00533FBA" w:rsidP="00400BAE">
            <w:pPr>
              <w:tabs>
                <w:tab w:val="left" w:pos="8985"/>
              </w:tabs>
              <w:jc w:val="center"/>
              <w:rPr>
                <w:b/>
              </w:rPr>
            </w:pPr>
            <w:r w:rsidRPr="00615AFA">
              <w:rPr>
                <w:b/>
              </w:rPr>
              <w:t>APPROVAL</w:t>
            </w:r>
          </w:p>
          <w:p w:rsidR="00533FBA" w:rsidRPr="00615AFA" w:rsidRDefault="00533FBA" w:rsidP="00400BAE">
            <w:pPr>
              <w:tabs>
                <w:tab w:val="left" w:pos="8985"/>
              </w:tabs>
              <w:jc w:val="center"/>
              <w:rPr>
                <w:b/>
              </w:rPr>
            </w:pPr>
            <w:r w:rsidRPr="00615AFA">
              <w:rPr>
                <w:b/>
              </w:rPr>
              <w:t>AUTHORITY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FBA" w:rsidRPr="00615AFA" w:rsidRDefault="00533FBA" w:rsidP="00400BAE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FBA" w:rsidRPr="00615AFA" w:rsidRDefault="00533FBA" w:rsidP="00400BAE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FBA" w:rsidRPr="00615AFA" w:rsidRDefault="00533FBA" w:rsidP="00400BAE">
            <w:pPr>
              <w:jc w:val="center"/>
            </w:pPr>
          </w:p>
        </w:tc>
      </w:tr>
    </w:tbl>
    <w:p w:rsidR="00533FBA" w:rsidRPr="00533FBA" w:rsidRDefault="00533FBA" w:rsidP="00533FBA"/>
    <w:p w:rsidR="00533FBA" w:rsidRPr="00533FBA" w:rsidRDefault="00533FBA" w:rsidP="00533FBA"/>
    <w:p w:rsidR="00533FBA" w:rsidRPr="00533FBA" w:rsidRDefault="00533FBA" w:rsidP="00533FBA"/>
    <w:p w:rsidR="00533FBA" w:rsidRPr="00533FBA" w:rsidRDefault="00533FBA" w:rsidP="00533FBA"/>
    <w:p w:rsidR="00533FBA" w:rsidRDefault="00533FBA" w:rsidP="00533FBA"/>
    <w:p w:rsidR="00533FBA" w:rsidRDefault="00533FBA" w:rsidP="00533FBA">
      <w:pPr>
        <w:tabs>
          <w:tab w:val="left" w:pos="3320"/>
        </w:tabs>
      </w:pPr>
      <w:r>
        <w:tab/>
      </w:r>
    </w:p>
    <w:p w:rsidR="00533FBA" w:rsidRDefault="00533FBA">
      <w:r>
        <w:br w:type="page"/>
      </w:r>
    </w:p>
    <w:p w:rsidR="00533FBA" w:rsidRPr="00533FBA" w:rsidRDefault="00533FBA" w:rsidP="00533FBA">
      <w:pPr>
        <w:rPr>
          <w:b/>
        </w:rPr>
      </w:pPr>
      <w:r w:rsidRPr="00533FBA">
        <w:rPr>
          <w:b/>
        </w:rPr>
        <w:lastRenderedPageBreak/>
        <w:t>9.1 Purpose</w:t>
      </w:r>
    </w:p>
    <w:p w:rsidR="00533FBA" w:rsidRPr="000C3B0C" w:rsidRDefault="00533FBA" w:rsidP="00533FBA">
      <w:r w:rsidRPr="000C3B0C">
        <w:t>This SOP describes the procedures study team will use for recruiting eligible subjects into a study while following protocol and fulfilling ethical responsibilities for protecting the rights, safety and welfare of participants and maintenance of a screening log.</w:t>
      </w:r>
    </w:p>
    <w:p w:rsidR="00533FBA" w:rsidRPr="00533FBA" w:rsidRDefault="00533FBA" w:rsidP="00533FBA">
      <w:pPr>
        <w:rPr>
          <w:b/>
        </w:rPr>
      </w:pPr>
      <w:r w:rsidRPr="00533FBA">
        <w:rPr>
          <w:b/>
        </w:rPr>
        <w:t>9.2 Scope</w:t>
      </w:r>
    </w:p>
    <w:p w:rsidR="00533FBA" w:rsidRPr="000C3B0C" w:rsidRDefault="00533FBA" w:rsidP="00533FBA">
      <w:r w:rsidRPr="000C3B0C">
        <w:t xml:space="preserve">This SOP will apply to all clinical studies being conducted at </w:t>
      </w:r>
      <w:r>
        <w:t>[INSTITUTION]</w:t>
      </w:r>
      <w:r w:rsidRPr="000C3B0C">
        <w:t>.</w:t>
      </w:r>
    </w:p>
    <w:p w:rsidR="00533FBA" w:rsidRPr="00533FBA" w:rsidRDefault="00533FBA" w:rsidP="00533FBA">
      <w:pPr>
        <w:rPr>
          <w:b/>
        </w:rPr>
      </w:pPr>
      <w:r w:rsidRPr="00533FBA">
        <w:rPr>
          <w:b/>
        </w:rPr>
        <w:t>9.3 Procedure</w:t>
      </w:r>
    </w:p>
    <w:p w:rsidR="00533FBA" w:rsidRPr="000C3B0C" w:rsidRDefault="00533FBA" w:rsidP="00533FBA">
      <w:r w:rsidRPr="000C3B0C">
        <w:t xml:space="preserve">There are several steps involved in subject recruitment. These can be summarized into developing a recruitment plan or strategies and activities covering the entire recruitment period, including pre-screening and screening the subject to ensure that they meet the inclusion and exclusion criteria; and the </w:t>
      </w:r>
      <w:r w:rsidR="005E6BC7" w:rsidRPr="000C3B0C">
        <w:t>enrolment</w:t>
      </w:r>
      <w:r w:rsidRPr="000C3B0C">
        <w:t xml:space="preserve"> in the study.</w:t>
      </w:r>
    </w:p>
    <w:p w:rsidR="00533FBA" w:rsidRPr="000C3B0C" w:rsidRDefault="00533FBA" w:rsidP="00533FBA">
      <w:r w:rsidRPr="000C3B0C">
        <w:t>ICH GCP requires that records are kept of every subject that undergoes pre-trial screening (ICH GCP 8.3.20) i.e. details of all subjects approached for a study should be maintained. For the purposes of this SOP, this shall be referred to as a screening log.</w:t>
      </w:r>
    </w:p>
    <w:p w:rsidR="00533FBA" w:rsidRPr="00533FBA" w:rsidRDefault="00533FBA" w:rsidP="00533FBA">
      <w:pPr>
        <w:rPr>
          <w:b/>
        </w:rPr>
      </w:pPr>
      <w:r w:rsidRPr="00533FBA">
        <w:rPr>
          <w:b/>
        </w:rPr>
        <w:t>9.3.1 Recruitment strategies</w:t>
      </w:r>
    </w:p>
    <w:p w:rsidR="00533FBA" w:rsidRPr="000C3B0C" w:rsidRDefault="00533FBA" w:rsidP="00533FBA">
      <w:r>
        <w:t xml:space="preserve">The </w:t>
      </w:r>
      <w:r w:rsidRPr="000C3B0C">
        <w:t xml:space="preserve">Investigator must schedule a meeting prior to </w:t>
      </w:r>
      <w:r w:rsidR="005E6BC7" w:rsidRPr="000C3B0C">
        <w:t>enrolment</w:t>
      </w:r>
      <w:r w:rsidRPr="000C3B0C">
        <w:t>, in order to secure the co-operation of study team to obtain a sufficient number of subjects.</w:t>
      </w:r>
    </w:p>
    <w:p w:rsidR="00533FBA" w:rsidRPr="000C3B0C" w:rsidRDefault="00533FBA" w:rsidP="00533FBA">
      <w:r w:rsidRPr="000C3B0C">
        <w:t>During the meeting the study protocol will be revised/ re discussed and the inclusion and exclusion criteria will be discussed in detail.</w:t>
      </w:r>
    </w:p>
    <w:p w:rsidR="00533FBA" w:rsidRPr="000C3B0C" w:rsidRDefault="00533FBA" w:rsidP="00533FBA">
      <w:r>
        <w:t xml:space="preserve">The </w:t>
      </w:r>
      <w:r w:rsidRPr="000C3B0C">
        <w:t>Investigator will provide the detailed inclusion and exclusion pamphlet to the entire study team member to place in their respective OPDs.</w:t>
      </w:r>
    </w:p>
    <w:p w:rsidR="00533FBA" w:rsidRPr="000C3B0C" w:rsidRDefault="00533FBA" w:rsidP="00533FBA">
      <w:r w:rsidRPr="000C3B0C">
        <w:t xml:space="preserve">Using the eligibility criteria for the study, the Investigator/study team or CTC will review records from the Investigator’s subject population to determine the suitability and availability </w:t>
      </w:r>
      <w:r>
        <w:t>of candidates for the protocol.</w:t>
      </w:r>
    </w:p>
    <w:p w:rsidR="00533FBA" w:rsidRPr="000C3B0C" w:rsidRDefault="00533FBA" w:rsidP="00533FBA">
      <w:r>
        <w:t xml:space="preserve">The </w:t>
      </w:r>
      <w:r w:rsidRPr="000C3B0C">
        <w:t>Study team should inform the Investigator/ CTC, if they identify any potential subject for the study.</w:t>
      </w:r>
    </w:p>
    <w:p w:rsidR="00533FBA" w:rsidRPr="000C3B0C" w:rsidRDefault="00533FBA" w:rsidP="00533FBA">
      <w:r w:rsidRPr="000C3B0C">
        <w:t>Any queries regarding subject eligibility must be referred to the Principal Investigator.</w:t>
      </w:r>
    </w:p>
    <w:p w:rsidR="00533FBA" w:rsidRPr="000C3B0C" w:rsidRDefault="00533FBA" w:rsidP="00533FBA">
      <w:r w:rsidRPr="000C3B0C">
        <w:t>The investigator is responsible for ensuring the unbiased selection of an adequate number of suitable subjects according to the protocol.</w:t>
      </w:r>
    </w:p>
    <w:p w:rsidR="00533FBA" w:rsidRPr="000C3B0C" w:rsidRDefault="00533FBA" w:rsidP="00533FBA">
      <w:r>
        <w:t xml:space="preserve">The </w:t>
      </w:r>
      <w:r w:rsidRPr="000C3B0C">
        <w:t>CTC must review the screening check list to ensure that all the protocol specific screening procedures are performed.</w:t>
      </w:r>
    </w:p>
    <w:p w:rsidR="00533FBA" w:rsidRPr="000C3B0C" w:rsidRDefault="00533FBA" w:rsidP="00533FBA">
      <w:r>
        <w:t xml:space="preserve">The </w:t>
      </w:r>
      <w:r w:rsidRPr="000C3B0C">
        <w:t>Investigator and CTC will review the screening reports and will confirm subject eligibility.</w:t>
      </w:r>
    </w:p>
    <w:p w:rsidR="00533FBA" w:rsidRPr="000C3B0C" w:rsidRDefault="00533FBA" w:rsidP="00533FBA">
      <w:r w:rsidRPr="000C3B0C">
        <w:t>If investigator finds the prospective subject eligible, investigator must inform the same to the subject and the sponsor/CRO.</w:t>
      </w:r>
    </w:p>
    <w:p w:rsidR="00533FBA" w:rsidRPr="000C3B0C" w:rsidRDefault="00533FBA" w:rsidP="00533FBA">
      <w:r w:rsidRPr="000C3B0C">
        <w:t xml:space="preserve">If a prospective study participant found to be ineligible, inform the same to subject and or LAR and document the reasons for screening failures in the </w:t>
      </w:r>
      <w:r w:rsidR="005E6BC7" w:rsidRPr="000C3B0C">
        <w:t>enrolment</w:t>
      </w:r>
      <w:r w:rsidRPr="000C3B0C">
        <w:t xml:space="preserve"> log and in the source documents. Store the </w:t>
      </w:r>
      <w:r w:rsidR="005E6BC7" w:rsidRPr="000C3B0C">
        <w:t>enrolment</w:t>
      </w:r>
      <w:bookmarkStart w:id="0" w:name="_GoBack"/>
      <w:bookmarkEnd w:id="0"/>
      <w:r w:rsidRPr="000C3B0C">
        <w:t xml:space="preserve"> log in the study files.</w:t>
      </w:r>
    </w:p>
    <w:p w:rsidR="00533FBA" w:rsidRPr="00026C2D" w:rsidRDefault="00533FBA" w:rsidP="00533FBA">
      <w:pPr>
        <w:rPr>
          <w:b/>
        </w:rPr>
      </w:pPr>
      <w:r w:rsidRPr="00026C2D">
        <w:rPr>
          <w:b/>
        </w:rPr>
        <w:t>9.3.4 Subject randomization/</w:t>
      </w:r>
      <w:r w:rsidR="005E6BC7" w:rsidRPr="00026C2D">
        <w:rPr>
          <w:b/>
        </w:rPr>
        <w:t>enrolm</w:t>
      </w:r>
      <w:r w:rsidR="005E6BC7">
        <w:rPr>
          <w:b/>
        </w:rPr>
        <w:t>ent</w:t>
      </w:r>
    </w:p>
    <w:p w:rsidR="00533FBA" w:rsidRPr="000C3B0C" w:rsidRDefault="00533FBA" w:rsidP="00533FBA">
      <w:r w:rsidRPr="000C3B0C">
        <w:t>Enroll eligible participants into the study and follow the trial's ra</w:t>
      </w:r>
      <w:r w:rsidR="00026C2D">
        <w:t>ndomization procedures, if any.</w:t>
      </w:r>
    </w:p>
    <w:p w:rsidR="00533FBA" w:rsidRPr="000C3B0C" w:rsidRDefault="00533FBA" w:rsidP="00533FBA">
      <w:r w:rsidRPr="000C3B0C">
        <w:t xml:space="preserve">When a subject is enrolled in a study, the following information will </w:t>
      </w:r>
      <w:r w:rsidR="00026C2D">
        <w:t>be entered on the source notes:</w:t>
      </w:r>
    </w:p>
    <w:p w:rsidR="00533FBA" w:rsidRPr="000C3B0C" w:rsidRDefault="00533FBA" w:rsidP="005E6BC7">
      <w:pPr>
        <w:pStyle w:val="ListParagraph"/>
        <w:numPr>
          <w:ilvl w:val="0"/>
          <w:numId w:val="1"/>
        </w:numPr>
      </w:pPr>
      <w:r w:rsidRPr="000C3B0C">
        <w:t xml:space="preserve">Subject randomization number/enrollment number </w:t>
      </w:r>
    </w:p>
    <w:p w:rsidR="00533FBA" w:rsidRPr="000C3B0C" w:rsidRDefault="00533FBA" w:rsidP="005E6BC7">
      <w:pPr>
        <w:pStyle w:val="ListParagraph"/>
        <w:numPr>
          <w:ilvl w:val="0"/>
          <w:numId w:val="1"/>
        </w:numPr>
      </w:pPr>
      <w:r w:rsidRPr="000C3B0C">
        <w:t>Date of randomization/enrollment</w:t>
      </w:r>
    </w:p>
    <w:p w:rsidR="00533FBA" w:rsidRPr="000C3B0C" w:rsidRDefault="00026C2D" w:rsidP="005E6BC7">
      <w:pPr>
        <w:pStyle w:val="ListParagraph"/>
        <w:numPr>
          <w:ilvl w:val="0"/>
          <w:numId w:val="1"/>
        </w:numPr>
      </w:pPr>
      <w:r>
        <w:t>Randomization group/arm</w:t>
      </w:r>
    </w:p>
    <w:p w:rsidR="00533FBA" w:rsidRPr="000C3B0C" w:rsidRDefault="00533FBA" w:rsidP="005E6BC7">
      <w:pPr>
        <w:pStyle w:val="ListParagraph"/>
        <w:numPr>
          <w:ilvl w:val="0"/>
          <w:numId w:val="1"/>
        </w:numPr>
      </w:pPr>
      <w:r w:rsidRPr="000C3B0C">
        <w:t>Document recruitment activities on the source notes and/or enrollment log as appropriate while maintaining subje</w:t>
      </w:r>
      <w:r w:rsidR="00026C2D">
        <w:t>ct/participant confidentiality.</w:t>
      </w:r>
    </w:p>
    <w:p w:rsidR="00533FBA" w:rsidRPr="000C3B0C" w:rsidRDefault="00533FBA" w:rsidP="00533FBA">
      <w:r w:rsidRPr="000C3B0C">
        <w:t>If the trial is blinded, the investigator should promptly document and explain to the sponsor in case of premature unbinding (e.g., accidental unbinding, unbinding due to a serious adverse event) of the investigational product(s) and should ensure that the code is broken only i</w:t>
      </w:r>
      <w:r w:rsidR="00026C2D">
        <w:t>n accordance with the protocol.</w:t>
      </w:r>
    </w:p>
    <w:p w:rsidR="00533FBA" w:rsidRPr="00026C2D" w:rsidRDefault="00026C2D" w:rsidP="00533FBA">
      <w:pPr>
        <w:rPr>
          <w:b/>
        </w:rPr>
      </w:pPr>
      <w:r w:rsidRPr="00026C2D">
        <w:rPr>
          <w:b/>
        </w:rPr>
        <w:t>9.4 Applicable staff</w:t>
      </w:r>
    </w:p>
    <w:p w:rsidR="005E6BC7" w:rsidRDefault="00533FBA" w:rsidP="00533FBA">
      <w:r w:rsidRPr="000C3B0C">
        <w:t>This SOP applies to all the personals of the clinical research team and others who may be responsible for su</w:t>
      </w:r>
      <w:r w:rsidR="00026C2D">
        <w:t>bject recruitment in the study.</w:t>
      </w:r>
      <w:r w:rsidR="005E6BC7">
        <w:t xml:space="preserve"> </w:t>
      </w:r>
      <w:r w:rsidRPr="000C3B0C">
        <w:t xml:space="preserve">These include the following: </w:t>
      </w:r>
    </w:p>
    <w:p w:rsidR="005E6BC7" w:rsidRDefault="00533FBA" w:rsidP="005E6BC7">
      <w:pPr>
        <w:pStyle w:val="ListParagraph"/>
        <w:numPr>
          <w:ilvl w:val="0"/>
          <w:numId w:val="2"/>
        </w:numPr>
      </w:pPr>
      <w:r w:rsidRPr="000C3B0C">
        <w:t xml:space="preserve">Investigator </w:t>
      </w:r>
    </w:p>
    <w:p w:rsidR="005E6BC7" w:rsidRDefault="00533FBA" w:rsidP="005E6BC7">
      <w:pPr>
        <w:pStyle w:val="ListParagraph"/>
        <w:numPr>
          <w:ilvl w:val="0"/>
          <w:numId w:val="2"/>
        </w:numPr>
      </w:pPr>
      <w:r w:rsidRPr="000C3B0C">
        <w:t>Research Team (li</w:t>
      </w:r>
      <w:r w:rsidR="005E6BC7">
        <w:t>sted in the delegation log)</w:t>
      </w:r>
    </w:p>
    <w:p w:rsidR="00533FBA" w:rsidRPr="000C3B0C" w:rsidRDefault="005E6BC7" w:rsidP="005E6BC7">
      <w:pPr>
        <w:pStyle w:val="ListParagraph"/>
        <w:numPr>
          <w:ilvl w:val="0"/>
          <w:numId w:val="2"/>
        </w:numPr>
      </w:pPr>
      <w:r>
        <w:t>CTC</w:t>
      </w:r>
    </w:p>
    <w:p w:rsidR="00533FBA" w:rsidRPr="005E6BC7" w:rsidRDefault="00533FBA" w:rsidP="00533FBA">
      <w:pPr>
        <w:rPr>
          <w:b/>
        </w:rPr>
      </w:pPr>
      <w:r w:rsidRPr="005E6BC7">
        <w:rPr>
          <w:b/>
        </w:rPr>
        <w:t>9.5 Staff</w:t>
      </w:r>
      <w:r w:rsidR="005E6BC7">
        <w:rPr>
          <w:b/>
        </w:rPr>
        <w:t xml:space="preserve"> responsible for Implementation</w:t>
      </w:r>
    </w:p>
    <w:p w:rsidR="00533FBA" w:rsidRPr="000C3B0C" w:rsidRDefault="005E6BC7" w:rsidP="00533FBA">
      <w:r>
        <w:t>The research department</w:t>
      </w:r>
      <w:r w:rsidR="00533FBA" w:rsidRPr="000C3B0C">
        <w:t xml:space="preserve"> and Investigator will ensure that the research team involved in the conduct of the study will comply with this site SOP.</w:t>
      </w:r>
    </w:p>
    <w:p w:rsidR="00533FBA" w:rsidRPr="000C3B0C" w:rsidRDefault="00533FBA" w:rsidP="00533FBA"/>
    <w:p w:rsidR="00533FBA" w:rsidRPr="000C3B0C" w:rsidRDefault="005E6BC7" w:rsidP="00533FBA">
      <w:r>
        <w:t xml:space="preserve">The </w:t>
      </w:r>
      <w:r w:rsidR="00533FBA" w:rsidRPr="000C3B0C">
        <w:t xml:space="preserve">PI will ensure that at the time of implementation of the SOP, that the research team at the clinical research unit in </w:t>
      </w:r>
      <w:r w:rsidR="00533FBA">
        <w:t>[Institution]</w:t>
      </w:r>
      <w:r w:rsidR="00533FBA" w:rsidRPr="000C3B0C">
        <w:t xml:space="preserve"> are trained and in the event that an SOP is modified, provide training regarding the change(s) and ensure their compliance with the changes.</w:t>
      </w:r>
    </w:p>
    <w:p w:rsidR="00533FBA" w:rsidRPr="00533FBA" w:rsidRDefault="00533FBA" w:rsidP="00533FBA">
      <w:pPr>
        <w:rPr>
          <w:b/>
        </w:rPr>
      </w:pPr>
      <w:r w:rsidRPr="00533FBA">
        <w:rPr>
          <w:b/>
        </w:rPr>
        <w:t>References</w:t>
      </w:r>
    </w:p>
    <w:p w:rsidR="00533FBA" w:rsidRPr="000C3B0C" w:rsidRDefault="00533FBA" w:rsidP="00533FBA">
      <w:r w:rsidRPr="000C3B0C">
        <w:t>1. 21 CFR 312.60 – General Re</w:t>
      </w:r>
      <w:r>
        <w:t>sponsibilities of Investigators</w:t>
      </w:r>
    </w:p>
    <w:p w:rsidR="00533FBA" w:rsidRPr="000C3B0C" w:rsidRDefault="00533FBA" w:rsidP="00533FBA">
      <w:r w:rsidRPr="000C3B0C">
        <w:t>2. 21 CFR 50.20 – General Re</w:t>
      </w:r>
      <w:r>
        <w:t>quirements for Informed Consent</w:t>
      </w:r>
    </w:p>
    <w:p w:rsidR="00533FBA" w:rsidRPr="000C3B0C" w:rsidRDefault="00533FBA" w:rsidP="00533FBA">
      <w:r w:rsidRPr="000C3B0C">
        <w:t>3. 21 CFR 50.25</w:t>
      </w:r>
      <w:r>
        <w:t xml:space="preserve"> – Elements of Informed Consent</w:t>
      </w:r>
    </w:p>
    <w:p w:rsidR="00533FBA" w:rsidRPr="000C3B0C" w:rsidRDefault="00533FBA" w:rsidP="00533FBA">
      <w:r w:rsidRPr="000C3B0C">
        <w:t>4. G</w:t>
      </w:r>
      <w:r>
        <w:t>uideline Good Clinical Practice</w:t>
      </w:r>
    </w:p>
    <w:p w:rsidR="00533FBA" w:rsidRPr="000C3B0C" w:rsidRDefault="00533FBA" w:rsidP="00533FBA">
      <w:r w:rsidRPr="000C3B0C">
        <w:t xml:space="preserve">5. ICH Guidelines </w:t>
      </w:r>
      <w:r>
        <w:t>for Good Clinical Practice (E6)</w:t>
      </w:r>
    </w:p>
    <w:p w:rsidR="00533FBA" w:rsidRPr="000C3B0C" w:rsidRDefault="00533FBA" w:rsidP="00533FBA">
      <w:r w:rsidRPr="000C3B0C">
        <w:t>6. ICH Guidelines for Good Clinical Practice (E6)</w:t>
      </w:r>
      <w:r>
        <w:t xml:space="preserve"> section 3.1 – Responsibilities</w:t>
      </w:r>
    </w:p>
    <w:p w:rsidR="00533FBA" w:rsidRPr="000C3B0C" w:rsidRDefault="00533FBA" w:rsidP="00533FBA">
      <w:r w:rsidRPr="000C3B0C">
        <w:t>7. Schedule Y</w:t>
      </w:r>
    </w:p>
    <w:p w:rsidR="00477D1E" w:rsidRPr="00533FBA" w:rsidRDefault="00E72C61" w:rsidP="00533FBA">
      <w:pPr>
        <w:tabs>
          <w:tab w:val="left" w:pos="3320"/>
        </w:tabs>
      </w:pPr>
    </w:p>
    <w:sectPr w:rsidR="00477D1E" w:rsidRPr="00533FB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C61" w:rsidRDefault="00E72C61" w:rsidP="00533FBA">
      <w:pPr>
        <w:spacing w:after="0" w:line="240" w:lineRule="auto"/>
      </w:pPr>
      <w:r>
        <w:separator/>
      </w:r>
    </w:p>
  </w:endnote>
  <w:endnote w:type="continuationSeparator" w:id="0">
    <w:p w:rsidR="00E72C61" w:rsidRDefault="00E72C61" w:rsidP="0053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FBA" w:rsidRDefault="00533FBA" w:rsidP="00533FBA">
    <w:pPr>
      <w:pStyle w:val="Footer"/>
      <w:rPr>
        <w:noProof/>
        <w:lang w:eastAsia="en-GB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867B88" wp14:editId="5B3E14E1">
              <wp:simplePos x="0" y="0"/>
              <wp:positionH relativeFrom="column">
                <wp:posOffset>2164080</wp:posOffset>
              </wp:positionH>
              <wp:positionV relativeFrom="paragraph">
                <wp:posOffset>27305</wp:posOffset>
              </wp:positionV>
              <wp:extent cx="4177665" cy="83883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7665" cy="838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33FBA" w:rsidRPr="00855CAF" w:rsidRDefault="00533FBA" w:rsidP="00533FBA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855CAF">
                            <w:rPr>
                              <w:i/>
                              <w:sz w:val="20"/>
                              <w:szCs w:val="20"/>
                            </w:rPr>
                            <w:t>This template has been freely provided by</w:t>
                          </w:r>
                          <w:r>
                            <w:rPr>
                              <w:i/>
                              <w:sz w:val="20"/>
                              <w:szCs w:val="20"/>
                            </w:rPr>
                            <w:t xml:space="preserve"> Dr Sreedhar Tirunagari</w:t>
                          </w:r>
                          <w:r w:rsidRPr="00855CAF">
                            <w:rPr>
                              <w:i/>
                              <w:sz w:val="20"/>
                              <w:szCs w:val="20"/>
                            </w:rPr>
                            <w:t xml:space="preserve"> via The Global Health Network. Please reference The Global Health Network when you use it, and share your own materials in exchange. </w:t>
                          </w:r>
                          <w:hyperlink r:id="rId1" w:history="1">
                            <w:r w:rsidRPr="00855CAF">
                              <w:rPr>
                                <w:rStyle w:val="Hyperlink"/>
                                <w:i/>
                                <w:sz w:val="20"/>
                                <w:szCs w:val="20"/>
                              </w:rPr>
                              <w:t>www.theglobalhealthnetwork.org</w:t>
                            </w:r>
                          </w:hyperlink>
                          <w:r w:rsidRPr="00855CAF">
                            <w:rPr>
                              <w:i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33FBA" w:rsidRDefault="00533FBA" w:rsidP="00533FBA">
                          <w:pPr>
                            <w:pStyle w:val="Footer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0.4pt;margin-top:2.15pt;width:328.95pt;height:6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" filled="f" stroked="f" strokeweight=".5pt">
              <v:textbox>
                <w:txbxContent>
                  <w:p w:rsidR="00533FBA" w:rsidRPr="00855CAF" w:rsidRDefault="00533FBA" w:rsidP="00533FBA">
                    <w:pPr>
                      <w:rPr>
                        <w:i/>
                        <w:sz w:val="20"/>
                        <w:szCs w:val="20"/>
                      </w:rPr>
                    </w:pPr>
                    <w:r w:rsidRPr="00855CAF">
                      <w:rPr>
                        <w:i/>
                        <w:sz w:val="20"/>
                        <w:szCs w:val="20"/>
                      </w:rPr>
                      <w:t>This template has been freely provided by</w:t>
                    </w:r>
                    <w:r>
                      <w:rPr>
                        <w:i/>
                        <w:sz w:val="20"/>
                        <w:szCs w:val="20"/>
                      </w:rPr>
                      <w:t xml:space="preserve"> Dr Sreedhar Tirunagari</w:t>
                    </w:r>
                    <w:r w:rsidRPr="00855CAF">
                      <w:rPr>
                        <w:i/>
                        <w:sz w:val="20"/>
                        <w:szCs w:val="20"/>
                      </w:rPr>
                      <w:t xml:space="preserve"> via The Global Health Network. Please reference The Global Health Network when you use it, and share your own materials in exchange. </w:t>
                    </w:r>
                    <w:hyperlink r:id="rId2" w:history="1">
                      <w:r w:rsidRPr="00855CAF">
                        <w:rPr>
                          <w:rStyle w:val="Hyperlink"/>
                          <w:i/>
                          <w:sz w:val="20"/>
                          <w:szCs w:val="20"/>
                        </w:rPr>
                        <w:t>www.theglobalhealthnetwork.org</w:t>
                      </w:r>
                    </w:hyperlink>
                    <w:r w:rsidRPr="00855CAF">
                      <w:rPr>
                        <w:i/>
                        <w:sz w:val="20"/>
                        <w:szCs w:val="20"/>
                      </w:rPr>
                      <w:t>.</w:t>
                    </w:r>
                  </w:p>
                  <w:p w:rsidR="00533FBA" w:rsidRDefault="00533FBA" w:rsidP="00533FBA">
                    <w:pPr>
                      <w:pStyle w:val="Footer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B3DAF8" wp14:editId="49E45720">
              <wp:simplePos x="0" y="0"/>
              <wp:positionH relativeFrom="column">
                <wp:posOffset>3766820</wp:posOffset>
              </wp:positionH>
              <wp:positionV relativeFrom="paragraph">
                <wp:posOffset>8898255</wp:posOffset>
              </wp:positionV>
              <wp:extent cx="3659505" cy="866140"/>
              <wp:effectExtent l="4445" t="0" r="317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9505" cy="866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3FBA" w:rsidRPr="0021768B" w:rsidRDefault="00533FBA" w:rsidP="00533FBA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21768B">
                            <w:rPr>
                              <w:i/>
                              <w:sz w:val="20"/>
                            </w:rPr>
                            <w:t xml:space="preserve">This template document has been freely provided by 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KEMRI-Wellcome Trust via The Global Health Network. Please reference The Global Health Network when you use it, and share your own materials in exchange. </w:t>
                          </w:r>
                          <w:hyperlink r:id="rId3" w:history="1">
                            <w:r w:rsidRPr="0042505F">
                              <w:rPr>
                                <w:rStyle w:val="Hyperlink"/>
                                <w:i/>
                                <w:sz w:val="20"/>
                              </w:rPr>
                              <w:t>www.theglobalhealthnetwork.org</w:t>
                            </w:r>
                          </w:hyperlink>
                          <w:r>
                            <w:rPr>
                              <w:i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96.6pt;margin-top:700.65pt;width:288.15pt;height:6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" stroked="f">
              <v:textbox>
                <w:txbxContent>
                  <w:p w:rsidR="00533FBA" w:rsidRPr="0021768B" w:rsidRDefault="00533FBA" w:rsidP="00533FBA">
                    <w:pPr>
                      <w:rPr>
                        <w:i/>
                        <w:sz w:val="20"/>
                        <w:szCs w:val="20"/>
                      </w:rPr>
                    </w:pPr>
                    <w:r w:rsidRPr="0021768B">
                      <w:rPr>
                        <w:i/>
                        <w:sz w:val="20"/>
                      </w:rPr>
                      <w:t xml:space="preserve">This template document has been freely provided by </w:t>
                    </w:r>
                    <w:r>
                      <w:rPr>
                        <w:i/>
                        <w:sz w:val="20"/>
                      </w:rPr>
                      <w:t xml:space="preserve">KEMRI-Wellcome Trust via The Global Health Network. Please reference The Global Health Network when you use it, and share your own materials in exchange. </w:t>
                    </w:r>
                    <w:hyperlink r:id="rId4" w:history="1">
                      <w:r w:rsidRPr="0042505F">
                        <w:rPr>
                          <w:rStyle w:val="Hyperlink"/>
                          <w:i/>
                          <w:sz w:val="20"/>
                        </w:rPr>
                        <w:t>www.theglobalhealthnetwork.org</w:t>
                      </w:r>
                    </w:hyperlink>
                    <w:r>
                      <w:rPr>
                        <w:i/>
                        <w:sz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EF4A34" wp14:editId="11FE9618">
              <wp:simplePos x="0" y="0"/>
              <wp:positionH relativeFrom="column">
                <wp:posOffset>3766820</wp:posOffset>
              </wp:positionH>
              <wp:positionV relativeFrom="paragraph">
                <wp:posOffset>8898255</wp:posOffset>
              </wp:positionV>
              <wp:extent cx="3659505" cy="866140"/>
              <wp:effectExtent l="4445" t="0" r="317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9505" cy="866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3FBA" w:rsidRPr="0021768B" w:rsidRDefault="00533FBA" w:rsidP="00533FBA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21768B">
                            <w:rPr>
                              <w:i/>
                              <w:sz w:val="20"/>
                            </w:rPr>
                            <w:t xml:space="preserve">This template document has been freely provided by 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KEMRI-Wellcome Trust via The Global Health Network. Please reference The Global Health Network when you use it, and share your own materials in exchange. </w:t>
                          </w:r>
                          <w:hyperlink r:id="rId5" w:history="1">
                            <w:r w:rsidRPr="0042505F">
                              <w:rPr>
                                <w:rStyle w:val="Hyperlink"/>
                                <w:i/>
                                <w:sz w:val="20"/>
                              </w:rPr>
                              <w:t>www.theglobalhealthnetwork.org</w:t>
                            </w:r>
                          </w:hyperlink>
                          <w:r>
                            <w:rPr>
                              <w:i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296.6pt;margin-top:700.65pt;width:288.15pt;height:6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mChgIAABYFAAAOAAAAZHJzL2Uyb0RvYy54bWysVNuO2yAQfa/Uf0C8Z32pnY2tdVZ7aapK&#10;24u02w8ggGNUDBRI7O2q/94BJ2m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" stroked="f">
              <v:textbox>
                <w:txbxContent>
                  <w:p w:rsidR="00533FBA" w:rsidRPr="0021768B" w:rsidRDefault="00533FBA" w:rsidP="00533FBA">
                    <w:pPr>
                      <w:rPr>
                        <w:i/>
                        <w:sz w:val="20"/>
                        <w:szCs w:val="20"/>
                      </w:rPr>
                    </w:pPr>
                    <w:r w:rsidRPr="0021768B">
                      <w:rPr>
                        <w:i/>
                        <w:sz w:val="20"/>
                      </w:rPr>
                      <w:t xml:space="preserve">This template document has been freely provided by </w:t>
                    </w:r>
                    <w:r>
                      <w:rPr>
                        <w:i/>
                        <w:sz w:val="20"/>
                      </w:rPr>
                      <w:t xml:space="preserve">KEMRI-Wellcome Trust via The Global Health Network. Please reference The Global Health Network when you use it, and share your own materials in exchange. </w:t>
                    </w:r>
                    <w:hyperlink r:id="rId6" w:history="1">
                      <w:r w:rsidRPr="0042505F">
                        <w:rPr>
                          <w:rStyle w:val="Hyperlink"/>
                          <w:i/>
                          <w:sz w:val="20"/>
                        </w:rPr>
                        <w:t>www.theglobalhealthnetwork.org</w:t>
                      </w:r>
                    </w:hyperlink>
                    <w:r>
                      <w:rPr>
                        <w:i/>
                        <w:sz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D0CB17" wp14:editId="5B0C3048">
              <wp:simplePos x="0" y="0"/>
              <wp:positionH relativeFrom="column">
                <wp:posOffset>3766820</wp:posOffset>
              </wp:positionH>
              <wp:positionV relativeFrom="paragraph">
                <wp:posOffset>8898255</wp:posOffset>
              </wp:positionV>
              <wp:extent cx="3659505" cy="866140"/>
              <wp:effectExtent l="4445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9505" cy="866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3FBA" w:rsidRPr="0021768B" w:rsidRDefault="00533FBA" w:rsidP="00533FBA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21768B">
                            <w:rPr>
                              <w:i/>
                              <w:sz w:val="20"/>
                            </w:rPr>
                            <w:t xml:space="preserve">This template document has been freely provided by 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KEMRI-Wellcome Trust via The Global Health Network. Please reference The Global Health Network when you use it, and share your own materials in exchange. </w:t>
                          </w:r>
                          <w:hyperlink r:id="rId7" w:history="1">
                            <w:r w:rsidRPr="0042505F">
                              <w:rPr>
                                <w:rStyle w:val="Hyperlink"/>
                                <w:i/>
                                <w:sz w:val="20"/>
                              </w:rPr>
                              <w:t>www.theglobalhealthnetwork.org</w:t>
                            </w:r>
                          </w:hyperlink>
                          <w:r>
                            <w:rPr>
                              <w:i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296.6pt;margin-top:700.65pt;width:288.15pt;height:6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" stroked="f">
              <v:textbox>
                <w:txbxContent>
                  <w:p w:rsidR="00533FBA" w:rsidRPr="0021768B" w:rsidRDefault="00533FBA" w:rsidP="00533FBA">
                    <w:pPr>
                      <w:rPr>
                        <w:i/>
                        <w:sz w:val="20"/>
                        <w:szCs w:val="20"/>
                      </w:rPr>
                    </w:pPr>
                    <w:r w:rsidRPr="0021768B">
                      <w:rPr>
                        <w:i/>
                        <w:sz w:val="20"/>
                      </w:rPr>
                      <w:t xml:space="preserve">This template document has been freely provided by </w:t>
                    </w:r>
                    <w:r>
                      <w:rPr>
                        <w:i/>
                        <w:sz w:val="20"/>
                      </w:rPr>
                      <w:t xml:space="preserve">KEMRI-Wellcome Trust via The Global Health Network. Please reference The Global Health Network when you use it, and share your own materials in exchange. </w:t>
                    </w:r>
                    <w:hyperlink r:id="rId8" w:history="1">
                      <w:r w:rsidRPr="0042505F">
                        <w:rPr>
                          <w:rStyle w:val="Hyperlink"/>
                          <w:i/>
                          <w:sz w:val="20"/>
                        </w:rPr>
                        <w:t>www.theglobalhealthnetwork.org</w:t>
                      </w:r>
                    </w:hyperlink>
                    <w:r>
                      <w:rPr>
                        <w:i/>
                        <w:sz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A52ED1" wp14:editId="45020103">
              <wp:simplePos x="0" y="0"/>
              <wp:positionH relativeFrom="column">
                <wp:posOffset>3766820</wp:posOffset>
              </wp:positionH>
              <wp:positionV relativeFrom="paragraph">
                <wp:posOffset>8898255</wp:posOffset>
              </wp:positionV>
              <wp:extent cx="3659505" cy="866140"/>
              <wp:effectExtent l="4445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9505" cy="866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3FBA" w:rsidRPr="0021768B" w:rsidRDefault="00533FBA" w:rsidP="00533FBA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21768B">
                            <w:rPr>
                              <w:i/>
                              <w:sz w:val="20"/>
                            </w:rPr>
                            <w:t xml:space="preserve">This template document has been freely provided by 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KEMRI-Wellcome Trust via The Global Health Network. Please reference The Global Health Network when you use it, and share your own materials in exchange. </w:t>
                          </w:r>
                          <w:hyperlink r:id="rId9" w:history="1">
                            <w:r w:rsidRPr="0042505F">
                              <w:rPr>
                                <w:rStyle w:val="Hyperlink"/>
                                <w:i/>
                                <w:sz w:val="20"/>
                              </w:rPr>
                              <w:t>www.theglobalhealthnetwork.org</w:t>
                            </w:r>
                          </w:hyperlink>
                          <w:r>
                            <w:rPr>
                              <w:i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296.6pt;margin-top:700.65pt;width:288.15pt;height:6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FyhgIAABYFAAAOAAAAZHJzL2Uyb0RvYy54bWysVNuO2yAQfa/Uf0C8Z32pnY2tdVZ7aapK&#10;24u02w8ggGNUDBRI7O2q/94BJ2m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" stroked="f">
              <v:textbox>
                <w:txbxContent>
                  <w:p w:rsidR="00533FBA" w:rsidRPr="0021768B" w:rsidRDefault="00533FBA" w:rsidP="00533FBA">
                    <w:pPr>
                      <w:rPr>
                        <w:i/>
                        <w:sz w:val="20"/>
                        <w:szCs w:val="20"/>
                      </w:rPr>
                    </w:pPr>
                    <w:r w:rsidRPr="0021768B">
                      <w:rPr>
                        <w:i/>
                        <w:sz w:val="20"/>
                      </w:rPr>
                      <w:t xml:space="preserve">This template document has been freely provided by </w:t>
                    </w:r>
                    <w:r>
                      <w:rPr>
                        <w:i/>
                        <w:sz w:val="20"/>
                      </w:rPr>
                      <w:t xml:space="preserve">KEMRI-Wellcome Trust via The Global Health Network. Please reference The Global Health Network when you use it, and share your own materials in exchange. </w:t>
                    </w:r>
                    <w:hyperlink r:id="rId10" w:history="1">
                      <w:r w:rsidRPr="0042505F">
                        <w:rPr>
                          <w:rStyle w:val="Hyperlink"/>
                          <w:i/>
                          <w:sz w:val="20"/>
                        </w:rPr>
                        <w:t>www.theglobalhealthnetwork.org</w:t>
                      </w:r>
                    </w:hyperlink>
                    <w:r>
                      <w:rPr>
                        <w:i/>
                        <w:sz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ED97F1" wp14:editId="4DEB002C">
              <wp:simplePos x="0" y="0"/>
              <wp:positionH relativeFrom="column">
                <wp:posOffset>3766820</wp:posOffset>
              </wp:positionH>
              <wp:positionV relativeFrom="paragraph">
                <wp:posOffset>8898255</wp:posOffset>
              </wp:positionV>
              <wp:extent cx="3659505" cy="866140"/>
              <wp:effectExtent l="4445" t="0" r="317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9505" cy="866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3FBA" w:rsidRPr="0021768B" w:rsidRDefault="00533FBA" w:rsidP="00533FBA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21768B">
                            <w:rPr>
                              <w:i/>
                              <w:sz w:val="20"/>
                            </w:rPr>
                            <w:t xml:space="preserve">This template document has been freely provided by 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KEMRI-Wellcome Trust via The Global Health Network. Please reference The Global Health Network when you use it, and share your own materials in exchange. </w:t>
                          </w:r>
                          <w:hyperlink r:id="rId11" w:history="1">
                            <w:r w:rsidRPr="0042505F">
                              <w:rPr>
                                <w:rStyle w:val="Hyperlink"/>
                                <w:i/>
                                <w:sz w:val="20"/>
                              </w:rPr>
                              <w:t>www.theglobalhealthnetwork.org</w:t>
                            </w:r>
                          </w:hyperlink>
                          <w:r>
                            <w:rPr>
                              <w:i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7" o:spid="_x0000_s1031" type="#_x0000_t202" style="position:absolute;margin-left:296.6pt;margin-top:700.65pt;width:288.15pt;height:6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" stroked="f">
              <v:textbox>
                <w:txbxContent>
                  <w:p w:rsidR="00533FBA" w:rsidRPr="0021768B" w:rsidRDefault="00533FBA" w:rsidP="00533FBA">
                    <w:pPr>
                      <w:rPr>
                        <w:i/>
                        <w:sz w:val="20"/>
                        <w:szCs w:val="20"/>
                      </w:rPr>
                    </w:pPr>
                    <w:r w:rsidRPr="0021768B">
                      <w:rPr>
                        <w:i/>
                        <w:sz w:val="20"/>
                      </w:rPr>
                      <w:t xml:space="preserve">This template document has been freely provided by </w:t>
                    </w:r>
                    <w:r>
                      <w:rPr>
                        <w:i/>
                        <w:sz w:val="20"/>
                      </w:rPr>
                      <w:t xml:space="preserve">KEMRI-Wellcome Trust via The Global Health Network. Please reference The Global Health Network when you use it, and share your own materials in exchange. </w:t>
                    </w:r>
                    <w:hyperlink r:id="rId12" w:history="1">
                      <w:r w:rsidRPr="0042505F">
                        <w:rPr>
                          <w:rStyle w:val="Hyperlink"/>
                          <w:i/>
                          <w:sz w:val="20"/>
                        </w:rPr>
                        <w:t>www.theglobalhealthnetwork.org</w:t>
                      </w:r>
                    </w:hyperlink>
                    <w:r>
                      <w:rPr>
                        <w:i/>
                        <w:sz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4B7268FB" wp14:editId="7F324C95">
          <wp:extent cx="1407277" cy="836101"/>
          <wp:effectExtent l="0" t="0" r="0" b="0"/>
          <wp:docPr id="8" name="Picture 8" descr="TGHN-256x151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GHN-256x151px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00" cy="840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3FBA" w:rsidRDefault="00533FBA" w:rsidP="00533FBA">
    <w:pPr>
      <w:pStyle w:val="Foo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E72C61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E72C61">
      <w:rPr>
        <w:b/>
        <w:noProof/>
      </w:rPr>
      <w:t>1</w:t>
    </w:r>
    <w:r>
      <w:rPr>
        <w:b/>
      </w:rPr>
      <w:fldChar w:fldCharType="end"/>
    </w:r>
  </w:p>
  <w:p w:rsidR="00533FBA" w:rsidRDefault="00533F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C61" w:rsidRDefault="00E72C61" w:rsidP="00533FBA">
      <w:pPr>
        <w:spacing w:after="0" w:line="240" w:lineRule="auto"/>
      </w:pPr>
      <w:r>
        <w:separator/>
      </w:r>
    </w:p>
  </w:footnote>
  <w:footnote w:type="continuationSeparator" w:id="0">
    <w:p w:rsidR="00E72C61" w:rsidRDefault="00E72C61" w:rsidP="00533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668"/>
      <w:gridCol w:w="7574"/>
    </w:tblGrid>
    <w:tr w:rsidR="00533FBA" w:rsidRPr="00855CAF" w:rsidTr="00533FBA">
      <w:trPr>
        <w:trHeight w:val="416"/>
      </w:trPr>
      <w:tc>
        <w:tcPr>
          <w:tcW w:w="1668" w:type="dxa"/>
        </w:tcPr>
        <w:p w:rsidR="00533FBA" w:rsidRPr="00533FBA" w:rsidRDefault="00533FBA" w:rsidP="00400BAE">
          <w:pPr>
            <w:rPr>
              <w:b/>
              <w:sz w:val="24"/>
              <w:szCs w:val="24"/>
            </w:rPr>
          </w:pPr>
          <w:r w:rsidRPr="00533FBA">
            <w:rPr>
              <w:b/>
              <w:sz w:val="24"/>
              <w:szCs w:val="24"/>
            </w:rPr>
            <w:t>SOP TITLE:</w:t>
          </w:r>
        </w:p>
      </w:tc>
      <w:tc>
        <w:tcPr>
          <w:tcW w:w="7574" w:type="dxa"/>
        </w:tcPr>
        <w:p w:rsidR="00533FBA" w:rsidRPr="00533FBA" w:rsidRDefault="00533FBA" w:rsidP="00400BAE">
          <w:pPr>
            <w:rPr>
              <w:b/>
              <w:sz w:val="24"/>
              <w:szCs w:val="24"/>
            </w:rPr>
          </w:pPr>
          <w:r w:rsidRPr="00533FBA">
            <w:rPr>
              <w:b/>
            </w:rPr>
            <w:t>Recruiting Stu</w:t>
          </w:r>
          <w:r w:rsidRPr="00533FBA">
            <w:rPr>
              <w:b/>
            </w:rPr>
            <w:t>dy Subjects</w:t>
          </w:r>
        </w:p>
      </w:tc>
    </w:tr>
    <w:tr w:rsidR="00533FBA" w:rsidRPr="00855CAF" w:rsidTr="00400BAE">
      <w:trPr>
        <w:trHeight w:val="252"/>
      </w:trPr>
      <w:tc>
        <w:tcPr>
          <w:tcW w:w="1668" w:type="dxa"/>
        </w:tcPr>
        <w:p w:rsidR="00533FBA" w:rsidRPr="00855CAF" w:rsidRDefault="00533FBA" w:rsidP="00400BAE">
          <w:pPr>
            <w:rPr>
              <w:b/>
              <w:sz w:val="24"/>
              <w:szCs w:val="24"/>
            </w:rPr>
          </w:pPr>
          <w:r w:rsidRPr="00855CAF">
            <w:rPr>
              <w:b/>
              <w:sz w:val="24"/>
              <w:szCs w:val="24"/>
            </w:rPr>
            <w:t xml:space="preserve">SOP </w:t>
          </w:r>
          <w:r>
            <w:rPr>
              <w:b/>
              <w:sz w:val="24"/>
              <w:szCs w:val="24"/>
            </w:rPr>
            <w:t xml:space="preserve">Version </w:t>
          </w:r>
          <w:r w:rsidRPr="00855CAF">
            <w:rPr>
              <w:b/>
              <w:sz w:val="24"/>
              <w:szCs w:val="24"/>
            </w:rPr>
            <w:t>No:</w:t>
          </w:r>
        </w:p>
      </w:tc>
      <w:tc>
        <w:tcPr>
          <w:tcW w:w="7574" w:type="dxa"/>
        </w:tcPr>
        <w:p w:rsidR="00533FBA" w:rsidRPr="00855CAF" w:rsidRDefault="00533FBA" w:rsidP="00400BAE">
          <w:pPr>
            <w:rPr>
              <w:b/>
              <w:sz w:val="24"/>
              <w:szCs w:val="24"/>
            </w:rPr>
          </w:pPr>
          <w:r w:rsidRPr="00855CAF">
            <w:rPr>
              <w:b/>
              <w:sz w:val="24"/>
              <w:szCs w:val="24"/>
            </w:rPr>
            <w:t xml:space="preserve"> 01</w:t>
          </w:r>
        </w:p>
      </w:tc>
    </w:tr>
    <w:tr w:rsidR="00533FBA" w:rsidRPr="00855CAF" w:rsidTr="00400BAE">
      <w:trPr>
        <w:trHeight w:val="252"/>
      </w:trPr>
      <w:tc>
        <w:tcPr>
          <w:tcW w:w="1668" w:type="dxa"/>
        </w:tcPr>
        <w:p w:rsidR="00533FBA" w:rsidRPr="00855CAF" w:rsidRDefault="00533FBA" w:rsidP="00400BAE">
          <w:pPr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Date:</w:t>
          </w:r>
        </w:p>
      </w:tc>
      <w:tc>
        <w:tcPr>
          <w:tcW w:w="7574" w:type="dxa"/>
        </w:tcPr>
        <w:p w:rsidR="00533FBA" w:rsidRPr="00855CAF" w:rsidRDefault="00533FBA" w:rsidP="00400BAE">
          <w:pPr>
            <w:rPr>
              <w:b/>
              <w:sz w:val="24"/>
              <w:szCs w:val="24"/>
            </w:rPr>
          </w:pPr>
        </w:p>
      </w:tc>
    </w:tr>
  </w:tbl>
  <w:p w:rsidR="00533FBA" w:rsidRDefault="00533F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6818"/>
    <w:multiLevelType w:val="hybridMultilevel"/>
    <w:tmpl w:val="6F441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E691C"/>
    <w:multiLevelType w:val="hybridMultilevel"/>
    <w:tmpl w:val="2FBA5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BA"/>
    <w:rsid w:val="00026C2D"/>
    <w:rsid w:val="00533FBA"/>
    <w:rsid w:val="005E6BC7"/>
    <w:rsid w:val="00600DE8"/>
    <w:rsid w:val="00E72C61"/>
    <w:rsid w:val="00E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33F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533FB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FBA"/>
  </w:style>
  <w:style w:type="paragraph" w:styleId="Footer">
    <w:name w:val="footer"/>
    <w:basedOn w:val="Normal"/>
    <w:link w:val="FooterChar"/>
    <w:uiPriority w:val="99"/>
    <w:unhideWhenUsed/>
    <w:rsid w:val="0053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FBA"/>
  </w:style>
  <w:style w:type="character" w:styleId="Hyperlink">
    <w:name w:val="Hyperlink"/>
    <w:uiPriority w:val="99"/>
    <w:unhideWhenUsed/>
    <w:rsid w:val="00533F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F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3FB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rsid w:val="00533FB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533FB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E6B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33F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533FB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FBA"/>
  </w:style>
  <w:style w:type="paragraph" w:styleId="Footer">
    <w:name w:val="footer"/>
    <w:basedOn w:val="Normal"/>
    <w:link w:val="FooterChar"/>
    <w:uiPriority w:val="99"/>
    <w:unhideWhenUsed/>
    <w:rsid w:val="0053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FBA"/>
  </w:style>
  <w:style w:type="character" w:styleId="Hyperlink">
    <w:name w:val="Hyperlink"/>
    <w:uiPriority w:val="99"/>
    <w:unhideWhenUsed/>
    <w:rsid w:val="00533F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F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3FB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rsid w:val="00533FB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533FB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E6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globalhealthnetwork.org" TargetMode="External"/><Relationship Id="rId13" Type="http://schemas.openxmlformats.org/officeDocument/2006/relationships/image" Target="media/image1.png"/><Relationship Id="rId3" Type="http://schemas.openxmlformats.org/officeDocument/2006/relationships/hyperlink" Target="http://www.theglobalhealthnetwork.org" TargetMode="External"/><Relationship Id="rId7" Type="http://schemas.openxmlformats.org/officeDocument/2006/relationships/hyperlink" Target="http://www.theglobalhealthnetwork.org" TargetMode="External"/><Relationship Id="rId12" Type="http://schemas.openxmlformats.org/officeDocument/2006/relationships/hyperlink" Target="http://www.theglobalhealthnetwork.org" TargetMode="External"/><Relationship Id="rId2" Type="http://schemas.openxmlformats.org/officeDocument/2006/relationships/hyperlink" Target="http://www.theglobalhealthnetwork.org" TargetMode="External"/><Relationship Id="rId1" Type="http://schemas.openxmlformats.org/officeDocument/2006/relationships/hyperlink" Target="http://www.theglobalhealthnetwork.org" TargetMode="External"/><Relationship Id="rId6" Type="http://schemas.openxmlformats.org/officeDocument/2006/relationships/hyperlink" Target="http://www.theglobalhealthnetwork.org" TargetMode="External"/><Relationship Id="rId11" Type="http://schemas.openxmlformats.org/officeDocument/2006/relationships/hyperlink" Target="http://www.theglobalhealthnetwork.org" TargetMode="External"/><Relationship Id="rId5" Type="http://schemas.openxmlformats.org/officeDocument/2006/relationships/hyperlink" Target="http://www.theglobalhealthnetwork.org" TargetMode="External"/><Relationship Id="rId10" Type="http://schemas.openxmlformats.org/officeDocument/2006/relationships/hyperlink" Target="http://www.theglobalhealthnetwork.org" TargetMode="External"/><Relationship Id="rId4" Type="http://schemas.openxmlformats.org/officeDocument/2006/relationships/hyperlink" Target="http://www.theglobalhealthnetwork.org" TargetMode="External"/><Relationship Id="rId9" Type="http://schemas.openxmlformats.org/officeDocument/2006/relationships/hyperlink" Target="http://www.theglobalhealthnetwor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Tamzin Furtado</dc:creator>
  <cp:lastModifiedBy>Tamzin Furtado</cp:lastModifiedBy>
  <cp:revision>1</cp:revision>
  <dcterms:created xsi:type="dcterms:W3CDTF">2015-08-11T10:55:00Z</dcterms:created>
  <dcterms:modified xsi:type="dcterms:W3CDTF">2015-08-11T11:49:00Z</dcterms:modified>
</cp:coreProperties>
</file>