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23" w:rsidRDefault="00A40A23" w:rsidP="00A40A23"/>
    <w:tbl>
      <w:tblPr>
        <w:tblpPr w:leftFromText="180" w:rightFromText="180" w:vertAnchor="page" w:horzAnchor="margin" w:tblpXSpec="center" w:tblpY="324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3510"/>
        <w:gridCol w:w="180"/>
        <w:gridCol w:w="1420"/>
        <w:gridCol w:w="1700"/>
      </w:tblGrid>
      <w:tr w:rsidR="00A40A23" w:rsidRPr="00897F3E" w:rsidTr="00E50A7F">
        <w:trPr>
          <w:cantSplit/>
          <w:trHeight w:val="1414"/>
        </w:trPr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40A23" w:rsidRPr="00897F3E" w:rsidRDefault="00A40A23" w:rsidP="00E50A7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D123EB4" wp14:editId="1FFC6179">
                  <wp:extent cx="1407277" cy="836101"/>
                  <wp:effectExtent l="0" t="0" r="0" b="0"/>
                  <wp:docPr id="13" name="Picture 13" descr="TGHN-256x151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GHN-256x151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00" cy="84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Standard Operating Procedure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40A23" w:rsidRPr="00897F3E" w:rsidRDefault="00A40A23" w:rsidP="00E50A7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0A23" w:rsidRPr="00897F3E" w:rsidRDefault="00A40A23" w:rsidP="00E50A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 xml:space="preserve">SOP No: </w:t>
            </w:r>
          </w:p>
          <w:p w:rsidR="00A40A23" w:rsidRPr="00897F3E" w:rsidRDefault="00A40A23" w:rsidP="00E50A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Version: 1</w:t>
            </w:r>
          </w:p>
          <w:p w:rsidR="00A40A23" w:rsidRPr="00897F3E" w:rsidRDefault="00A40A23" w:rsidP="00E50A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 xml:space="preserve">Effective Date: </w:t>
            </w:r>
          </w:p>
        </w:tc>
      </w:tr>
      <w:tr w:rsidR="00A40A23" w:rsidRPr="00897F3E" w:rsidTr="00E50A7F">
        <w:trPr>
          <w:trHeight w:val="398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23" w:rsidRPr="00897F3E" w:rsidRDefault="00A40A23" w:rsidP="00A40A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 xml:space="preserve">Title: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Disposing of IMP</w:t>
            </w: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A40A23" w:rsidRPr="00897F3E" w:rsidTr="00E50A7F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tabs>
                <w:tab w:val="left" w:pos="898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pStyle w:val="Heading3"/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</w:pPr>
            <w:r w:rsidRPr="00897F3E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>NAME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</w:tr>
      <w:tr w:rsidR="00A40A23" w:rsidRPr="00897F3E" w:rsidTr="00E50A7F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tabs>
                <w:tab w:val="left" w:pos="898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PREPARED BY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pStyle w:val="Heading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0A23" w:rsidRPr="00897F3E" w:rsidTr="00E50A7F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tabs>
                <w:tab w:val="left" w:pos="898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REVIEWED BY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0A23" w:rsidRPr="00897F3E" w:rsidTr="00E50A7F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tabs>
                <w:tab w:val="left" w:pos="898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QA UNIT</w:t>
            </w:r>
          </w:p>
          <w:p w:rsidR="00A40A23" w:rsidRPr="00897F3E" w:rsidRDefault="00A40A23" w:rsidP="00E50A7F">
            <w:pPr>
              <w:tabs>
                <w:tab w:val="left" w:pos="898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AUTHORITY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0A23" w:rsidRPr="00897F3E" w:rsidTr="00E50A7F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tabs>
                <w:tab w:val="left" w:pos="898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APPROVAL</w:t>
            </w:r>
          </w:p>
          <w:p w:rsidR="00A40A23" w:rsidRPr="00897F3E" w:rsidRDefault="00A40A23" w:rsidP="00E50A7F">
            <w:pPr>
              <w:tabs>
                <w:tab w:val="left" w:pos="898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7F3E">
              <w:rPr>
                <w:rFonts w:asciiTheme="minorHAnsi" w:hAnsiTheme="minorHAnsi"/>
                <w:b/>
                <w:sz w:val="22"/>
                <w:szCs w:val="22"/>
              </w:rPr>
              <w:t>AUTHORITY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A23" w:rsidRPr="00897F3E" w:rsidRDefault="00A40A23" w:rsidP="00E50A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0A23" w:rsidRDefault="00A40A23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:rsidR="00A40A23" w:rsidRDefault="00A40A23" w:rsidP="00A40A23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Purpose/scope</w:t>
      </w:r>
      <w:r w:rsidRPr="00853743">
        <w:rPr>
          <w:rFonts w:ascii="Calibri" w:hAnsi="Calibri" w:cs="Calibri"/>
          <w:b/>
          <w:bCs/>
          <w:sz w:val="22"/>
          <w:szCs w:val="22"/>
        </w:rPr>
        <w:tab/>
      </w:r>
      <w:r w:rsidRPr="00853743">
        <w:rPr>
          <w:rFonts w:ascii="Calibri" w:hAnsi="Calibri" w:cs="Calibri"/>
          <w:b/>
          <w:bCs/>
          <w:sz w:val="22"/>
          <w:szCs w:val="22"/>
        </w:rPr>
        <w:tab/>
      </w:r>
      <w:r w:rsidRPr="00853743">
        <w:rPr>
          <w:rFonts w:ascii="Calibri" w:hAnsi="Calibri" w:cs="Calibri"/>
          <w:b/>
          <w:bCs/>
          <w:sz w:val="22"/>
          <w:szCs w:val="22"/>
        </w:rPr>
        <w:tab/>
      </w:r>
    </w:p>
    <w:p w:rsidR="00A40A23" w:rsidRPr="002A25B1" w:rsidRDefault="00A40A23" w:rsidP="00A40A23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731882">
        <w:rPr>
          <w:rFonts w:ascii="Calibri" w:hAnsi="Calibri" w:cs="Calibri"/>
          <w:bCs/>
          <w:sz w:val="22"/>
          <w:szCs w:val="22"/>
        </w:rPr>
        <w:t xml:space="preserve">To describe the </w:t>
      </w:r>
      <w:r>
        <w:rPr>
          <w:rFonts w:ascii="Calibri" w:hAnsi="Calibri" w:cs="Calibri"/>
          <w:bCs/>
          <w:sz w:val="22"/>
          <w:szCs w:val="22"/>
        </w:rPr>
        <w:t>procedure</w:t>
      </w:r>
      <w:r w:rsidRPr="0073188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for</w:t>
      </w:r>
      <w:r w:rsidRPr="0073188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</w:rPr>
        <w:t>returning</w:t>
      </w:r>
      <w:r w:rsidRPr="00F43474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i</w:t>
      </w:r>
      <w:r w:rsidRPr="00F43474">
        <w:rPr>
          <w:rFonts w:ascii="Calibri" w:hAnsi="Calibri" w:cs="Calibri"/>
          <w:sz w:val="22"/>
        </w:rPr>
        <w:t xml:space="preserve">nvestigational </w:t>
      </w:r>
      <w:r>
        <w:rPr>
          <w:rFonts w:ascii="Calibri" w:hAnsi="Calibri" w:cs="Calibri"/>
          <w:sz w:val="22"/>
        </w:rPr>
        <w:t>medicinal pr</w:t>
      </w:r>
      <w:r w:rsidRPr="00F43474">
        <w:rPr>
          <w:rFonts w:ascii="Calibri" w:hAnsi="Calibri" w:cs="Calibri"/>
          <w:sz w:val="22"/>
        </w:rPr>
        <w:t>oduct</w:t>
      </w:r>
      <w:r>
        <w:rPr>
          <w:rFonts w:ascii="Calibri" w:hAnsi="Calibri" w:cs="Calibri"/>
          <w:sz w:val="22"/>
        </w:rPr>
        <w:t>s</w:t>
      </w:r>
      <w:r w:rsidRPr="00F43474">
        <w:rPr>
          <w:rFonts w:ascii="Calibri" w:hAnsi="Calibri" w:cs="Calibri"/>
          <w:sz w:val="22"/>
        </w:rPr>
        <w:t xml:space="preserve"> (</w:t>
      </w:r>
      <w:r>
        <w:rPr>
          <w:rFonts w:ascii="Calibri" w:hAnsi="Calibri" w:cs="Calibri"/>
          <w:sz w:val="22"/>
        </w:rPr>
        <w:t>IMP</w:t>
      </w:r>
      <w:r w:rsidRPr="00F43474">
        <w:rPr>
          <w:rFonts w:ascii="Calibri" w:hAnsi="Calibri" w:cs="Calibri"/>
          <w:sz w:val="22"/>
        </w:rPr>
        <w:t>)</w:t>
      </w:r>
      <w:r>
        <w:rPr>
          <w:rFonts w:ascii="Calibri" w:hAnsi="Calibri" w:cs="Calibri"/>
          <w:sz w:val="22"/>
        </w:rPr>
        <w:t xml:space="preserve"> to the sponsor or arranging for their destruction </w:t>
      </w:r>
      <w:r>
        <w:rPr>
          <w:rFonts w:ascii="Calibri" w:hAnsi="Calibri" w:cs="Calibri"/>
          <w:bCs/>
          <w:sz w:val="22"/>
          <w:szCs w:val="22"/>
        </w:rPr>
        <w:t xml:space="preserve">for a clinical trial conducted by the </w:t>
      </w:r>
      <w:r>
        <w:rPr>
          <w:rFonts w:ascii="Calibri" w:hAnsi="Calibri" w:cs="Calibri"/>
          <w:bCs/>
          <w:sz w:val="22"/>
          <w:szCs w:val="22"/>
        </w:rPr>
        <w:t>[institution/group]</w:t>
      </w:r>
      <w:r>
        <w:rPr>
          <w:rFonts w:ascii="Calibri" w:hAnsi="Calibri" w:cs="Calibri"/>
          <w:bCs/>
          <w:sz w:val="22"/>
          <w:szCs w:val="22"/>
        </w:rPr>
        <w:t>. This procedure may be supplemented with a trial-specific pharmacy manual or process document(s).</w:t>
      </w:r>
    </w:p>
    <w:p w:rsidR="00A40A23" w:rsidRPr="001177BC" w:rsidRDefault="00A40A23" w:rsidP="00A40A23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40A23" w:rsidRPr="002A25B1" w:rsidRDefault="00A40A23" w:rsidP="00A40A23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Templates/f</w:t>
      </w:r>
      <w:r w:rsidRPr="002A25B1">
        <w:rPr>
          <w:rFonts w:ascii="Calibri" w:hAnsi="Calibri" w:cs="Calibri"/>
          <w:b/>
          <w:sz w:val="22"/>
          <w:szCs w:val="22"/>
        </w:rPr>
        <w:t>orms</w:t>
      </w:r>
      <w:r w:rsidRPr="002A25B1">
        <w:rPr>
          <w:rFonts w:ascii="Calibri" w:hAnsi="Calibri" w:cs="Calibri"/>
          <w:b/>
          <w:sz w:val="22"/>
          <w:szCs w:val="22"/>
        </w:rPr>
        <w:tab/>
      </w:r>
      <w:r w:rsidRPr="002A25B1">
        <w:rPr>
          <w:rFonts w:ascii="Calibri" w:hAnsi="Calibri" w:cs="Calibri"/>
          <w:b/>
          <w:sz w:val="22"/>
          <w:szCs w:val="22"/>
        </w:rPr>
        <w:tab/>
      </w:r>
    </w:p>
    <w:p w:rsidR="00A40A23" w:rsidRDefault="00A40A23" w:rsidP="00A40A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IMP04.1</w:t>
      </w:r>
      <w:r>
        <w:rPr>
          <w:rFonts w:ascii="Calibri" w:hAnsi="Calibri" w:cs="Calibri"/>
          <w:bCs/>
          <w:sz w:val="22"/>
          <w:szCs w:val="22"/>
        </w:rPr>
        <w:tab/>
      </w:r>
      <w:r w:rsidRPr="00F40D00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MP return</w:t>
      </w:r>
      <w:r w:rsidRPr="00F40D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 w:rsidRPr="00F40D00">
        <w:rPr>
          <w:rFonts w:ascii="Calibri" w:hAnsi="Calibri" w:cs="Calibri"/>
          <w:sz w:val="22"/>
          <w:szCs w:val="22"/>
        </w:rPr>
        <w:t>orm</w:t>
      </w:r>
    </w:p>
    <w:p w:rsidR="00A40A23" w:rsidRDefault="00A40A23" w:rsidP="00A40A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IMP04.2</w:t>
      </w:r>
      <w:r>
        <w:rPr>
          <w:rFonts w:ascii="Calibri" w:hAnsi="Calibri" w:cs="Calibri"/>
          <w:sz w:val="22"/>
          <w:szCs w:val="22"/>
        </w:rPr>
        <w:tab/>
        <w:t>IMP receipt for destruction form</w:t>
      </w:r>
    </w:p>
    <w:p w:rsidR="00A40A23" w:rsidRPr="00071BEE" w:rsidRDefault="00A40A23" w:rsidP="00A40A2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40A23" w:rsidRPr="001177BC" w:rsidRDefault="00A40A23" w:rsidP="00A40A23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Glossary/definitions</w:t>
      </w:r>
    </w:p>
    <w:p w:rsidR="00A40A23" w:rsidRPr="0037778C" w:rsidRDefault="00A40A23" w:rsidP="00A40A23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37778C">
        <w:rPr>
          <w:rFonts w:ascii="Calibri" w:hAnsi="Calibri" w:cs="Calibri"/>
          <w:bCs/>
          <w:sz w:val="22"/>
          <w:szCs w:val="22"/>
        </w:rPr>
        <w:t>See also: South African Good Clinical Practice (SAGCP) Guideline; ICH Guideline for Good Clinical Practice E6; South African Guide to Good Manufacturing Practice and Good Pharmacy Practice</w:t>
      </w:r>
    </w:p>
    <w:p w:rsidR="00A40A23" w:rsidRPr="0037778C" w:rsidRDefault="00A40A23" w:rsidP="00A40A2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40A23" w:rsidRPr="0037778C" w:rsidRDefault="00A40A23" w:rsidP="00A40A2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7778C">
        <w:rPr>
          <w:rFonts w:ascii="Calibri" w:hAnsi="Calibri" w:cs="Calibri"/>
          <w:b/>
          <w:bCs/>
          <w:sz w:val="22"/>
          <w:szCs w:val="22"/>
        </w:rPr>
        <w:t>Essential Documents</w:t>
      </w:r>
    </w:p>
    <w:p w:rsidR="00A40A23" w:rsidRPr="0037778C" w:rsidRDefault="00A40A23" w:rsidP="00A40A23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37778C">
        <w:rPr>
          <w:rFonts w:ascii="Calibri" w:hAnsi="Calibri" w:cs="Calibri"/>
          <w:bCs/>
          <w:sz w:val="22"/>
          <w:szCs w:val="22"/>
        </w:rPr>
        <w:t>Documents which individually and collectively permit evaluation of the conduct of a clinical trial and the quality of the data produced (See South African Good Clinical Practice Guideline, Second Edition. 2006. Appendix C).</w:t>
      </w:r>
    </w:p>
    <w:p w:rsidR="00A40A23" w:rsidRPr="0037778C" w:rsidRDefault="00A40A23" w:rsidP="00A40A2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40A23" w:rsidRPr="0071469E" w:rsidRDefault="00A40A23" w:rsidP="00A40A2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1469E">
        <w:rPr>
          <w:rFonts w:ascii="Calibri" w:hAnsi="Calibri" w:cs="Calibri"/>
          <w:b/>
          <w:bCs/>
          <w:sz w:val="22"/>
          <w:szCs w:val="22"/>
        </w:rPr>
        <w:t>Investigational Medicinal Product</w:t>
      </w:r>
      <w:r>
        <w:rPr>
          <w:rFonts w:ascii="Calibri" w:hAnsi="Calibri" w:cs="Calibri"/>
          <w:b/>
          <w:bCs/>
          <w:sz w:val="22"/>
          <w:szCs w:val="22"/>
        </w:rPr>
        <w:t xml:space="preserve"> (IMP)</w:t>
      </w:r>
    </w:p>
    <w:p w:rsidR="00A40A23" w:rsidRPr="0071469E" w:rsidRDefault="00A40A23" w:rsidP="00A40A23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71469E">
        <w:rPr>
          <w:rFonts w:ascii="Calibri" w:hAnsi="Calibri" w:cs="Calibri"/>
          <w:bCs/>
          <w:sz w:val="22"/>
          <w:szCs w:val="22"/>
        </w:rPr>
        <w:t>A pharmaceutical form of an active ingredient or placebo being tested or used as a reference in a clinical trial, including a product with a marketing authorisation when used or assembled (formulated or packaged) in a way different from the approved form, or when used for an unapproved indication, or when used to gain further information about an approved use.</w:t>
      </w:r>
    </w:p>
    <w:p w:rsidR="00A40A23" w:rsidRPr="0037778C" w:rsidRDefault="00A40A23" w:rsidP="00A40A23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40A23" w:rsidRPr="0037778C" w:rsidRDefault="00A40A23" w:rsidP="00A40A2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7778C">
        <w:rPr>
          <w:rFonts w:ascii="Calibri" w:hAnsi="Calibri" w:cs="Calibri"/>
          <w:b/>
          <w:bCs/>
          <w:sz w:val="22"/>
          <w:szCs w:val="22"/>
        </w:rPr>
        <w:t>Investigator Site File (ISF)</w:t>
      </w:r>
    </w:p>
    <w:p w:rsidR="00A40A23" w:rsidRPr="0037778C" w:rsidRDefault="00A40A23" w:rsidP="00A40A23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37778C">
        <w:rPr>
          <w:rFonts w:ascii="Calibri" w:hAnsi="Calibri" w:cs="Calibri"/>
          <w:bCs/>
          <w:sz w:val="22"/>
          <w:szCs w:val="22"/>
        </w:rPr>
        <w:t xml:space="preserve">Files of Essential Documents held by the Investigator. NB on occasion the MCRG may also hold the Sponsor's Essential Documents in a Trial Master File, where the Principal Investigator (PI) assumes a Sponsor-investigator role. </w:t>
      </w:r>
    </w:p>
    <w:p w:rsidR="00A40A23" w:rsidRPr="0071469E" w:rsidRDefault="00A40A23" w:rsidP="00A40A23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40A23" w:rsidRPr="004C68A4" w:rsidRDefault="00A40A23" w:rsidP="00A40A23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Responsibilities</w:t>
      </w:r>
      <w:r w:rsidRPr="00071BE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and procedure</w:t>
      </w:r>
    </w:p>
    <w:p w:rsidR="00A40A23" w:rsidRDefault="00A40A23" w:rsidP="00A40A2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Return of IMP to sponsor</w:t>
      </w:r>
      <w:bookmarkStart w:id="0" w:name="_GoBack"/>
      <w:bookmarkEnd w:id="0"/>
    </w:p>
    <w:p w:rsidR="00A40A23" w:rsidRPr="00C97538" w:rsidRDefault="00A40A23" w:rsidP="00A40A2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97538">
        <w:rPr>
          <w:rFonts w:ascii="Calibri" w:hAnsi="Calibri" w:cs="Calibri"/>
          <w:sz w:val="22"/>
          <w:szCs w:val="22"/>
        </w:rPr>
        <w:t xml:space="preserve">An </w:t>
      </w:r>
      <w:r>
        <w:rPr>
          <w:rFonts w:ascii="Calibri" w:hAnsi="Calibri" w:cs="Calibri"/>
          <w:sz w:val="22"/>
          <w:szCs w:val="22"/>
        </w:rPr>
        <w:t>IMP return form</w:t>
      </w:r>
      <w:r w:rsidRPr="00C97538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  <w:szCs w:val="22"/>
        </w:rPr>
        <w:t>IMP04.1</w:t>
      </w:r>
      <w:r w:rsidRPr="00C97538">
        <w:rPr>
          <w:rFonts w:ascii="Calibri" w:hAnsi="Calibri" w:cs="Calibri"/>
          <w:sz w:val="22"/>
          <w:szCs w:val="22"/>
        </w:rPr>
        <w:t xml:space="preserve">), or alternative if required by the </w:t>
      </w:r>
      <w:r>
        <w:rPr>
          <w:rFonts w:ascii="Calibri" w:hAnsi="Calibri" w:cs="Calibri"/>
          <w:sz w:val="22"/>
          <w:szCs w:val="22"/>
        </w:rPr>
        <w:t>s</w:t>
      </w:r>
      <w:r w:rsidRPr="00C97538">
        <w:rPr>
          <w:rFonts w:ascii="Calibri" w:hAnsi="Calibri" w:cs="Calibri"/>
          <w:sz w:val="22"/>
          <w:szCs w:val="22"/>
        </w:rPr>
        <w:t xml:space="preserve">ponsor, is completed by the pharmacist and couriered to the </w:t>
      </w:r>
      <w:r>
        <w:rPr>
          <w:rFonts w:ascii="Calibri" w:hAnsi="Calibri" w:cs="Calibri"/>
          <w:sz w:val="22"/>
          <w:szCs w:val="22"/>
        </w:rPr>
        <w:t>s</w:t>
      </w:r>
      <w:r w:rsidRPr="00C97538">
        <w:rPr>
          <w:rFonts w:ascii="Calibri" w:hAnsi="Calibri" w:cs="Calibri"/>
          <w:sz w:val="22"/>
          <w:szCs w:val="22"/>
        </w:rPr>
        <w:t>ponsor with the I</w:t>
      </w:r>
      <w:r>
        <w:rPr>
          <w:rFonts w:ascii="Calibri" w:hAnsi="Calibri" w:cs="Calibri"/>
          <w:sz w:val="22"/>
          <w:szCs w:val="22"/>
        </w:rPr>
        <w:t>M</w:t>
      </w:r>
      <w:r w:rsidRPr="00C97538">
        <w:rPr>
          <w:rFonts w:ascii="Calibri" w:hAnsi="Calibri" w:cs="Calibri"/>
          <w:sz w:val="22"/>
          <w:szCs w:val="22"/>
        </w:rPr>
        <w:t xml:space="preserve">P, which is suitably packaged for the journey.  </w:t>
      </w:r>
    </w:p>
    <w:p w:rsidR="00A40A23" w:rsidRPr="00C97538" w:rsidRDefault="00A40A23" w:rsidP="00A40A2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97538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s</w:t>
      </w:r>
      <w:r w:rsidRPr="00C97538">
        <w:rPr>
          <w:rFonts w:ascii="Calibri" w:hAnsi="Calibri" w:cs="Calibri"/>
          <w:sz w:val="22"/>
          <w:szCs w:val="22"/>
        </w:rPr>
        <w:t>ponsor should be asked to acknowledge receipt of the I</w:t>
      </w:r>
      <w:r>
        <w:rPr>
          <w:rFonts w:ascii="Calibri" w:hAnsi="Calibri" w:cs="Calibri"/>
          <w:sz w:val="22"/>
          <w:szCs w:val="22"/>
        </w:rPr>
        <w:t>M</w:t>
      </w:r>
      <w:r w:rsidRPr="00C97538">
        <w:rPr>
          <w:rFonts w:ascii="Calibri" w:hAnsi="Calibri" w:cs="Calibri"/>
          <w:sz w:val="22"/>
          <w:szCs w:val="22"/>
        </w:rPr>
        <w:t xml:space="preserve">P </w:t>
      </w:r>
      <w:r>
        <w:rPr>
          <w:rFonts w:ascii="Calibri" w:hAnsi="Calibri" w:cs="Calibri"/>
          <w:sz w:val="22"/>
          <w:szCs w:val="22"/>
        </w:rPr>
        <w:t>by signature/date</w:t>
      </w:r>
      <w:r w:rsidRPr="00C97538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>return of the form</w:t>
      </w:r>
      <w:r w:rsidRPr="00C97538">
        <w:rPr>
          <w:rFonts w:ascii="Calibri" w:hAnsi="Calibri" w:cs="Calibri"/>
          <w:sz w:val="22"/>
          <w:szCs w:val="22"/>
        </w:rPr>
        <w:t xml:space="preserve">.  </w:t>
      </w:r>
    </w:p>
    <w:p w:rsidR="00A40A23" w:rsidRPr="00C97538" w:rsidRDefault="00A40A23" w:rsidP="00A40A2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97538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Cs/>
          <w:sz w:val="22"/>
        </w:rPr>
        <w:t>Pharmacy accountability f</w:t>
      </w:r>
      <w:r w:rsidRPr="00F43474">
        <w:rPr>
          <w:rFonts w:ascii="Calibri" w:hAnsi="Calibri" w:cs="Calibri"/>
          <w:bCs/>
          <w:sz w:val="22"/>
        </w:rPr>
        <w:t>orm</w:t>
      </w:r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</w:rPr>
        <w:t>IMP01.2</w:t>
      </w:r>
      <w:r w:rsidRPr="00C97538">
        <w:rPr>
          <w:rFonts w:ascii="Calibri" w:hAnsi="Calibri" w:cs="Calibri"/>
          <w:sz w:val="22"/>
          <w:szCs w:val="22"/>
        </w:rPr>
        <w:t>) is updated to indicate removal of I</w:t>
      </w:r>
      <w:r>
        <w:rPr>
          <w:rFonts w:ascii="Calibri" w:hAnsi="Calibri" w:cs="Calibri"/>
          <w:sz w:val="22"/>
          <w:szCs w:val="22"/>
        </w:rPr>
        <w:t>M</w:t>
      </w:r>
      <w:r w:rsidRPr="00C97538">
        <w:rPr>
          <w:rFonts w:ascii="Calibri" w:hAnsi="Calibri" w:cs="Calibri"/>
          <w:sz w:val="22"/>
          <w:szCs w:val="22"/>
        </w:rPr>
        <w:t>P.</w:t>
      </w:r>
    </w:p>
    <w:p w:rsidR="00A40A23" w:rsidRPr="00C97538" w:rsidRDefault="00A40A23" w:rsidP="00A40A2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97538">
        <w:rPr>
          <w:rFonts w:ascii="Calibri" w:hAnsi="Calibri" w:cs="Calibri"/>
          <w:sz w:val="22"/>
          <w:szCs w:val="22"/>
        </w:rPr>
        <w:t>Retention samples</w:t>
      </w:r>
      <w:r>
        <w:rPr>
          <w:rFonts w:ascii="Calibri" w:hAnsi="Calibri" w:cs="Calibri"/>
          <w:sz w:val="22"/>
          <w:szCs w:val="22"/>
        </w:rPr>
        <w:t>, if required</w:t>
      </w:r>
      <w:r w:rsidRPr="00C97538">
        <w:rPr>
          <w:rFonts w:ascii="Calibri" w:hAnsi="Calibri" w:cs="Calibri"/>
          <w:sz w:val="22"/>
          <w:szCs w:val="22"/>
        </w:rPr>
        <w:t xml:space="preserve"> for regulatory testing</w:t>
      </w:r>
      <w:r>
        <w:rPr>
          <w:rFonts w:ascii="Calibri" w:hAnsi="Calibri" w:cs="Calibri"/>
          <w:sz w:val="22"/>
          <w:szCs w:val="22"/>
        </w:rPr>
        <w:t>,</w:t>
      </w:r>
      <w:r w:rsidRPr="00C97538">
        <w:rPr>
          <w:rFonts w:ascii="Calibri" w:hAnsi="Calibri" w:cs="Calibri"/>
          <w:sz w:val="22"/>
          <w:szCs w:val="22"/>
        </w:rPr>
        <w:t xml:space="preserve"> are left in the I</w:t>
      </w:r>
      <w:r>
        <w:rPr>
          <w:rFonts w:ascii="Calibri" w:hAnsi="Calibri" w:cs="Calibri"/>
          <w:sz w:val="22"/>
          <w:szCs w:val="22"/>
        </w:rPr>
        <w:t>M</w:t>
      </w:r>
      <w:r w:rsidRPr="00C97538">
        <w:rPr>
          <w:rFonts w:ascii="Calibri" w:hAnsi="Calibri" w:cs="Calibri"/>
          <w:sz w:val="22"/>
          <w:szCs w:val="22"/>
        </w:rPr>
        <w:t xml:space="preserve">P store, clearly marked.  </w:t>
      </w:r>
    </w:p>
    <w:p w:rsidR="00A40A23" w:rsidRPr="005234AC" w:rsidRDefault="00A40A23" w:rsidP="00A40A23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:rsidR="00A40A23" w:rsidRDefault="00A40A23" w:rsidP="00A40A23">
      <w:pPr>
        <w:numPr>
          <w:ilvl w:val="1"/>
          <w:numId w:val="1"/>
        </w:numPr>
        <w:tabs>
          <w:tab w:val="num" w:pos="720"/>
        </w:tabs>
        <w:spacing w:line="360" w:lineRule="auto"/>
        <w:ind w:left="720" w:hanging="36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Destruction of IMP</w:t>
      </w:r>
    </w:p>
    <w:p w:rsidR="00A40A23" w:rsidRPr="00A96F06" w:rsidRDefault="00A40A23" w:rsidP="00A40A2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96F06">
        <w:rPr>
          <w:rFonts w:ascii="Calibri" w:hAnsi="Calibri" w:cs="Calibri"/>
          <w:sz w:val="22"/>
          <w:szCs w:val="22"/>
        </w:rPr>
        <w:t>When written instruction to destroy the IMP is provided by the sponsor</w:t>
      </w:r>
      <w:r>
        <w:rPr>
          <w:rFonts w:ascii="Calibri" w:hAnsi="Calibri" w:cs="Calibri"/>
          <w:sz w:val="22"/>
          <w:szCs w:val="22"/>
        </w:rPr>
        <w:t>,</w:t>
      </w:r>
      <w:r w:rsidRPr="00A96F06">
        <w:rPr>
          <w:rFonts w:ascii="Calibri" w:hAnsi="Calibri" w:cs="Calibri"/>
          <w:sz w:val="22"/>
          <w:szCs w:val="22"/>
        </w:rPr>
        <w:t xml:space="preserve"> arrangements are made with a suitable drug disposal company to collect it. The IMP should be packaged in suitable outer-packaging in order to keep its own packaging intact. </w:t>
      </w:r>
      <w:r>
        <w:rPr>
          <w:rFonts w:ascii="Calibri" w:hAnsi="Calibri" w:cs="Calibri"/>
          <w:sz w:val="22"/>
          <w:szCs w:val="22"/>
        </w:rPr>
        <w:t>Alternatively, if permission is given by the sponsor, the IMP may be added to the bulk drums in the CRC pharmacy. The latter process should be witnessed by a second member of the team.</w:t>
      </w:r>
    </w:p>
    <w:p w:rsidR="00A40A23" w:rsidRPr="00A96F06" w:rsidRDefault="00A40A23" w:rsidP="00A40A2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96F06">
        <w:rPr>
          <w:rFonts w:ascii="Calibri" w:hAnsi="Calibri" w:cs="Calibri"/>
          <w:sz w:val="22"/>
          <w:szCs w:val="22"/>
        </w:rPr>
        <w:t>The I</w:t>
      </w:r>
      <w:r>
        <w:rPr>
          <w:rFonts w:ascii="Calibri" w:hAnsi="Calibri" w:cs="Calibri"/>
          <w:sz w:val="22"/>
          <w:szCs w:val="22"/>
        </w:rPr>
        <w:t>M</w:t>
      </w:r>
      <w:r w:rsidRPr="00A96F06">
        <w:rPr>
          <w:rFonts w:ascii="Calibri" w:hAnsi="Calibri" w:cs="Calibri"/>
          <w:sz w:val="22"/>
          <w:szCs w:val="22"/>
        </w:rPr>
        <w:t xml:space="preserve">P Receipt for </w:t>
      </w:r>
      <w:r>
        <w:rPr>
          <w:rFonts w:ascii="Calibri" w:hAnsi="Calibri" w:cs="Calibri"/>
          <w:sz w:val="22"/>
          <w:szCs w:val="22"/>
        </w:rPr>
        <w:t>d</w:t>
      </w:r>
      <w:r w:rsidRPr="00A96F06">
        <w:rPr>
          <w:rFonts w:ascii="Calibri" w:hAnsi="Calibri" w:cs="Calibri"/>
          <w:sz w:val="22"/>
          <w:szCs w:val="22"/>
        </w:rPr>
        <w:t xml:space="preserve">estruction </w:t>
      </w:r>
      <w:r>
        <w:rPr>
          <w:rFonts w:ascii="Calibri" w:hAnsi="Calibri" w:cs="Calibri"/>
          <w:sz w:val="22"/>
          <w:szCs w:val="22"/>
        </w:rPr>
        <w:t>f</w:t>
      </w:r>
      <w:r w:rsidRPr="00A96F06">
        <w:rPr>
          <w:rFonts w:ascii="Calibri" w:hAnsi="Calibri" w:cs="Calibri"/>
          <w:sz w:val="22"/>
          <w:szCs w:val="22"/>
        </w:rPr>
        <w:t xml:space="preserve">orm </w:t>
      </w:r>
      <w:r>
        <w:rPr>
          <w:rFonts w:ascii="Calibri" w:hAnsi="Calibri" w:cs="Calibri"/>
          <w:sz w:val="22"/>
          <w:szCs w:val="22"/>
        </w:rPr>
        <w:t xml:space="preserve">(IMP04.2) is authorised by the PI and signed by </w:t>
      </w:r>
      <w:r w:rsidRPr="00A96F06">
        <w:rPr>
          <w:rFonts w:ascii="Calibri" w:hAnsi="Calibri" w:cs="Calibri"/>
          <w:sz w:val="22"/>
          <w:szCs w:val="22"/>
        </w:rPr>
        <w:t>both the persons handing over and collecting the package</w:t>
      </w:r>
      <w:r>
        <w:rPr>
          <w:rFonts w:ascii="Calibri" w:hAnsi="Calibri" w:cs="Calibri"/>
          <w:sz w:val="22"/>
          <w:szCs w:val="22"/>
        </w:rPr>
        <w:t xml:space="preserve"> or drum</w:t>
      </w:r>
      <w:r w:rsidRPr="00A96F0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A96F06">
        <w:rPr>
          <w:rFonts w:ascii="Calibri" w:hAnsi="Calibri" w:cs="Calibri"/>
          <w:sz w:val="22"/>
          <w:szCs w:val="22"/>
        </w:rPr>
        <w:t xml:space="preserve">The original is </w:t>
      </w:r>
      <w:r>
        <w:rPr>
          <w:rFonts w:ascii="Calibri" w:hAnsi="Calibri" w:cs="Calibri"/>
          <w:sz w:val="22"/>
          <w:szCs w:val="22"/>
        </w:rPr>
        <w:t xml:space="preserve">then </w:t>
      </w:r>
      <w:r w:rsidRPr="00A96F06">
        <w:rPr>
          <w:rFonts w:ascii="Calibri" w:hAnsi="Calibri" w:cs="Calibri"/>
          <w:sz w:val="22"/>
          <w:szCs w:val="22"/>
        </w:rPr>
        <w:t xml:space="preserve">sent to the </w:t>
      </w:r>
      <w:r>
        <w:rPr>
          <w:rFonts w:ascii="Calibri" w:hAnsi="Calibri" w:cs="Calibri"/>
          <w:sz w:val="22"/>
          <w:szCs w:val="22"/>
        </w:rPr>
        <w:t>s</w:t>
      </w:r>
      <w:r w:rsidRPr="00A96F06">
        <w:rPr>
          <w:rFonts w:ascii="Calibri" w:hAnsi="Calibri" w:cs="Calibri"/>
          <w:sz w:val="22"/>
          <w:szCs w:val="22"/>
        </w:rPr>
        <w:t>ponsor and a copy filed in the Master File</w:t>
      </w:r>
      <w:r>
        <w:rPr>
          <w:rFonts w:ascii="Calibri" w:hAnsi="Calibri" w:cs="Calibri"/>
          <w:sz w:val="22"/>
          <w:szCs w:val="22"/>
        </w:rPr>
        <w:t xml:space="preserve"> with the c</w:t>
      </w:r>
      <w:r w:rsidRPr="00A96F06">
        <w:rPr>
          <w:rFonts w:ascii="Calibri" w:hAnsi="Calibri" w:cs="Calibri"/>
          <w:sz w:val="22"/>
          <w:szCs w:val="22"/>
        </w:rPr>
        <w:t xml:space="preserve">ertificate </w:t>
      </w:r>
      <w:r>
        <w:rPr>
          <w:rFonts w:ascii="Calibri" w:hAnsi="Calibri" w:cs="Calibri"/>
          <w:sz w:val="22"/>
          <w:szCs w:val="22"/>
        </w:rPr>
        <w:t xml:space="preserve">or notice </w:t>
      </w:r>
      <w:r w:rsidRPr="00A96F06">
        <w:rPr>
          <w:rFonts w:ascii="Calibri" w:hAnsi="Calibri" w:cs="Calibri"/>
          <w:sz w:val="22"/>
          <w:szCs w:val="22"/>
        </w:rPr>
        <w:t xml:space="preserve">of destruction obtained from the drug disposal company. </w:t>
      </w:r>
    </w:p>
    <w:p w:rsidR="00A40A23" w:rsidRPr="009A248D" w:rsidRDefault="00A40A23" w:rsidP="00A40A2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40A23" w:rsidRPr="00465596" w:rsidRDefault="00A40A23" w:rsidP="00A40A23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65596">
        <w:rPr>
          <w:rFonts w:ascii="Calibri" w:hAnsi="Calibri" w:cs="Calibri"/>
          <w:b/>
          <w:bCs/>
        </w:rPr>
        <w:t>Document history: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845"/>
        <w:gridCol w:w="919"/>
        <w:gridCol w:w="5897"/>
      </w:tblGrid>
      <w:tr w:rsidR="00A40A23" w:rsidRPr="002867AA" w:rsidTr="00E50A7F">
        <w:tc>
          <w:tcPr>
            <w:tcW w:w="1074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b/>
                <w:sz w:val="16"/>
                <w:szCs w:val="16"/>
              </w:rPr>
            </w:pPr>
            <w:r w:rsidRPr="007719C9">
              <w:rPr>
                <w:rFonts w:ascii="Calibri" w:hAnsi="Calibri" w:cs="Calibri"/>
                <w:b/>
                <w:sz w:val="16"/>
                <w:szCs w:val="16"/>
              </w:rPr>
              <w:t>Version No.</w:t>
            </w:r>
          </w:p>
        </w:tc>
        <w:tc>
          <w:tcPr>
            <w:tcW w:w="845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b/>
                <w:sz w:val="16"/>
                <w:szCs w:val="16"/>
              </w:rPr>
            </w:pPr>
            <w:r w:rsidRPr="007719C9">
              <w:rPr>
                <w:rFonts w:ascii="Calibri" w:hAnsi="Calibri" w:cs="Calibri"/>
                <w:b/>
                <w:sz w:val="16"/>
                <w:szCs w:val="16"/>
              </w:rPr>
              <w:t>Date</w:t>
            </w:r>
          </w:p>
        </w:tc>
        <w:tc>
          <w:tcPr>
            <w:tcW w:w="919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b/>
                <w:sz w:val="16"/>
                <w:szCs w:val="16"/>
              </w:rPr>
            </w:pPr>
            <w:r w:rsidRPr="007719C9">
              <w:rPr>
                <w:rFonts w:ascii="Calibri" w:hAnsi="Calibri" w:cs="Calibri"/>
                <w:b/>
                <w:sz w:val="16"/>
                <w:szCs w:val="16"/>
              </w:rPr>
              <w:t>Reviewer</w:t>
            </w:r>
          </w:p>
        </w:tc>
        <w:tc>
          <w:tcPr>
            <w:tcW w:w="5897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b/>
                <w:sz w:val="16"/>
                <w:szCs w:val="16"/>
              </w:rPr>
            </w:pPr>
            <w:r w:rsidRPr="007719C9">
              <w:rPr>
                <w:rFonts w:ascii="Calibri" w:hAnsi="Calibri" w:cs="Calibri"/>
                <w:b/>
                <w:sz w:val="16"/>
                <w:szCs w:val="16"/>
              </w:rPr>
              <w:t>Details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of changes</w:t>
            </w:r>
          </w:p>
        </w:tc>
      </w:tr>
      <w:tr w:rsidR="00A40A23" w:rsidRPr="002867AA" w:rsidTr="00E50A7F">
        <w:tc>
          <w:tcPr>
            <w:tcW w:w="1074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5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19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97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40A23" w:rsidRPr="002867AA" w:rsidTr="00E50A7F">
        <w:tc>
          <w:tcPr>
            <w:tcW w:w="1074" w:type="dxa"/>
          </w:tcPr>
          <w:p w:rsidR="00A40A23" w:rsidRDefault="00A40A23" w:rsidP="00E50A7F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5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19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97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40A23" w:rsidRPr="002867AA" w:rsidTr="00E50A7F">
        <w:tc>
          <w:tcPr>
            <w:tcW w:w="1074" w:type="dxa"/>
          </w:tcPr>
          <w:p w:rsidR="00A40A23" w:rsidRDefault="00A40A23" w:rsidP="00E50A7F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5" w:type="dxa"/>
          </w:tcPr>
          <w:p w:rsidR="00A40A23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19" w:type="dxa"/>
          </w:tcPr>
          <w:p w:rsidR="00A40A23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97" w:type="dxa"/>
          </w:tcPr>
          <w:p w:rsidR="00A40A23" w:rsidRPr="007719C9" w:rsidRDefault="00A40A23" w:rsidP="00E50A7F">
            <w:pPr>
              <w:pStyle w:val="ListParagraph"/>
              <w:spacing w:line="360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A40A23" w:rsidRPr="005930AF" w:rsidRDefault="00A40A23" w:rsidP="00A40A23">
      <w:pPr>
        <w:spacing w:line="360" w:lineRule="auto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477D1E" w:rsidRDefault="00123F39"/>
    <w:sectPr w:rsidR="00477D1E" w:rsidSect="001A76D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99" w:right="746" w:bottom="1276" w:left="1134" w:header="708" w:footer="10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39" w:rsidRDefault="00123F39" w:rsidP="00A40A23">
      <w:r>
        <w:separator/>
      </w:r>
    </w:p>
  </w:endnote>
  <w:endnote w:type="continuationSeparator" w:id="0">
    <w:p w:rsidR="00123F39" w:rsidRDefault="00123F39" w:rsidP="00A4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31" w:rsidRDefault="00123F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D31" w:rsidRDefault="00123F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23" w:rsidRPr="00561D40" w:rsidRDefault="00A40A23" w:rsidP="00A40A23">
    <w:pPr>
      <w:pStyle w:val="Footer"/>
      <w:rPr>
        <w:rFonts w:asciiTheme="minorHAnsi" w:hAnsiTheme="minorHAnsi"/>
        <w:noProof/>
        <w:sz w:val="20"/>
        <w:szCs w:val="20"/>
        <w:lang w:eastAsia="en-GB"/>
      </w:rPr>
    </w:pPr>
    <w:r w:rsidRPr="00561D40">
      <w:rPr>
        <w:rFonts w:asciiTheme="minorHAnsi" w:hAnsiTheme="minorHAnsi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A5D73" wp14:editId="57FFD71F">
              <wp:simplePos x="0" y="0"/>
              <wp:positionH relativeFrom="column">
                <wp:posOffset>2451735</wp:posOffset>
              </wp:positionH>
              <wp:positionV relativeFrom="paragraph">
                <wp:posOffset>213360</wp:posOffset>
              </wp:positionV>
              <wp:extent cx="4177665" cy="83883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7665" cy="838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40A23" w:rsidRPr="00897F3E" w:rsidRDefault="00A40A23" w:rsidP="00A40A23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55CAF">
                            <w:rPr>
                              <w:i/>
                              <w:sz w:val="20"/>
                              <w:szCs w:val="20"/>
                            </w:rPr>
                            <w:t>This template has been freely provided by</w:t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 xml:space="preserve"> the MCRG at University of Cape Town,</w:t>
                          </w:r>
                          <w:r w:rsidRPr="00855CAF">
                            <w:rPr>
                              <w:i/>
                              <w:sz w:val="20"/>
                              <w:szCs w:val="20"/>
                            </w:rPr>
                            <w:t xml:space="preserve"> via The Global Health Network. Please reference The Global Health Network when you use it, and share your own materials in exchange. </w:t>
                          </w:r>
                          <w:hyperlink r:id="rId1" w:history="1">
                            <w:r w:rsidRPr="00855CAF">
                              <w:rPr>
                                <w:rStyle w:val="Hyperlink"/>
                                <w:i/>
                                <w:sz w:val="20"/>
                                <w:szCs w:val="20"/>
                              </w:rPr>
                              <w:t>www.theglobalhealthnetwork.org</w:t>
                            </w:r>
                          </w:hyperlink>
                          <w:r w:rsidRPr="00855CAF">
                            <w:rPr>
                              <w:i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05pt;margin-top:16.8pt;width:328.9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" filled="f" stroked="f" strokeweight=".5pt">
              <v:textbox>
                <w:txbxContent>
                  <w:p w:rsidR="00A40A23" w:rsidRPr="00897F3E" w:rsidRDefault="00A40A23" w:rsidP="00A40A23">
                    <w:pPr>
                      <w:rPr>
                        <w:i/>
                        <w:sz w:val="20"/>
                        <w:szCs w:val="20"/>
                      </w:rPr>
                    </w:pPr>
                    <w:r w:rsidRPr="00855CAF">
                      <w:rPr>
                        <w:i/>
                        <w:sz w:val="20"/>
                        <w:szCs w:val="20"/>
                      </w:rPr>
                      <w:t>This template has been freely provided by</w:t>
                    </w:r>
                    <w:r>
                      <w:rPr>
                        <w:i/>
                        <w:sz w:val="20"/>
                        <w:szCs w:val="20"/>
                      </w:rPr>
                      <w:t xml:space="preserve"> the MCRG at University of Cape Town,</w:t>
                    </w:r>
                    <w:r w:rsidRPr="00855CAF">
                      <w:rPr>
                        <w:i/>
                        <w:sz w:val="20"/>
                        <w:szCs w:val="20"/>
                      </w:rPr>
                      <w:t xml:space="preserve"> via The Global Health Network. Please reference The Global Health Network when you use it, and share your own materials in exchange. </w:t>
                    </w:r>
                    <w:hyperlink r:id="rId2" w:history="1">
                      <w:r w:rsidRPr="00855CAF">
                        <w:rPr>
                          <w:rStyle w:val="Hyperlink"/>
                          <w:i/>
                          <w:sz w:val="20"/>
                          <w:szCs w:val="20"/>
                        </w:rPr>
                        <w:t>www.theglobalhealthnetwork.org</w:t>
                      </w:r>
                    </w:hyperlink>
                    <w:r w:rsidRPr="00855CAF">
                      <w:rPr>
                        <w:i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61D40">
      <w:rPr>
        <w:rFonts w:asciiTheme="minorHAnsi" w:hAnsiTheme="minorHAnsi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ECB202" wp14:editId="6F759FDC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A23" w:rsidRPr="0021768B" w:rsidRDefault="00A40A23" w:rsidP="00A40A23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3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96.6pt;margin-top:700.65pt;width:288.15pt;height:6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" stroked="f">
              <v:textbox>
                <w:txbxContent>
                  <w:p w:rsidR="00A40A23" w:rsidRPr="0021768B" w:rsidRDefault="00A40A23" w:rsidP="00A40A23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4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561D40">
      <w:rPr>
        <w:rFonts w:asciiTheme="minorHAnsi" w:hAnsiTheme="minorHAnsi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82B06A" wp14:editId="46B67ECA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A23" w:rsidRPr="0021768B" w:rsidRDefault="00A40A23" w:rsidP="00A40A23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5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96.6pt;margin-top:700.65pt;width:288.15pt;height:6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mChgIAABY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" stroked="f">
              <v:textbox>
                <w:txbxContent>
                  <w:p w:rsidR="00A40A23" w:rsidRPr="0021768B" w:rsidRDefault="00A40A23" w:rsidP="00A40A23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6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561D40">
      <w:rPr>
        <w:rFonts w:asciiTheme="minorHAnsi" w:hAnsiTheme="minorHAnsi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2AF2A2" wp14:editId="24AB163B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A23" w:rsidRPr="0021768B" w:rsidRDefault="00A40A23" w:rsidP="00A40A23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7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296.6pt;margin-top:700.65pt;width:288.15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" stroked="f">
              <v:textbox>
                <w:txbxContent>
                  <w:p w:rsidR="00A40A23" w:rsidRPr="0021768B" w:rsidRDefault="00A40A23" w:rsidP="00A40A23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8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561D40">
      <w:rPr>
        <w:rFonts w:asciiTheme="minorHAnsi" w:hAnsiTheme="minorHAnsi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80A60E" wp14:editId="2C6F5203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A23" w:rsidRPr="0021768B" w:rsidRDefault="00A40A23" w:rsidP="00A40A23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9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96.6pt;margin-top:700.65pt;width:288.15pt;height:6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FyhgIAABY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" stroked="f">
              <v:textbox>
                <w:txbxContent>
                  <w:p w:rsidR="00A40A23" w:rsidRPr="0021768B" w:rsidRDefault="00A40A23" w:rsidP="00A40A23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10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561D40">
      <w:rPr>
        <w:rFonts w:asciiTheme="minorHAnsi" w:hAnsiTheme="minorHAnsi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9F848" wp14:editId="24A6CF07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A23" w:rsidRPr="0021768B" w:rsidRDefault="00A40A23" w:rsidP="00A40A23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11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296.6pt;margin-top:700.65pt;width:288.1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Gr/hgIAABYFAAAOAAAAZHJzL2Uyb0RvYy54bWysVNuO2yAQfa/Uf0C8Z22ndhJbcVZ7aapK&#10;24u02w8ggGNUDBRI7O2q/94BJ2m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" stroked="f">
              <v:textbox>
                <w:txbxContent>
                  <w:p w:rsidR="00A40A23" w:rsidRPr="0021768B" w:rsidRDefault="00A40A23" w:rsidP="00A40A23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12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561D40"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2E611676" wp14:editId="5DA77B51">
          <wp:extent cx="1407277" cy="836101"/>
          <wp:effectExtent l="0" t="0" r="0" b="0"/>
          <wp:docPr id="8" name="Picture 8" descr="TGHN-256x151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GHN-256x151px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00" cy="840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3D31" w:rsidRPr="00A40A23" w:rsidRDefault="00A40A23" w:rsidP="00A40A23">
    <w:pPr>
      <w:pStyle w:val="Footer"/>
      <w:rPr>
        <w:rFonts w:asciiTheme="minorHAnsi" w:hAnsiTheme="minorHAnsi"/>
        <w:sz w:val="20"/>
        <w:szCs w:val="20"/>
      </w:rPr>
    </w:pPr>
    <w:r w:rsidRPr="00561D40">
      <w:rPr>
        <w:rFonts w:asciiTheme="minorHAnsi" w:hAnsiTheme="minorHAnsi"/>
        <w:sz w:val="20"/>
        <w:szCs w:val="20"/>
      </w:rPr>
      <w:t xml:space="preserve">Page </w:t>
    </w:r>
    <w:r w:rsidRPr="00561D40">
      <w:rPr>
        <w:rFonts w:asciiTheme="minorHAnsi" w:hAnsiTheme="minorHAnsi"/>
        <w:b/>
        <w:sz w:val="20"/>
        <w:szCs w:val="20"/>
      </w:rPr>
      <w:fldChar w:fldCharType="begin"/>
    </w:r>
    <w:r w:rsidRPr="00561D40">
      <w:rPr>
        <w:rFonts w:asciiTheme="minorHAnsi" w:hAnsiTheme="minorHAnsi"/>
        <w:b/>
        <w:sz w:val="20"/>
        <w:szCs w:val="20"/>
      </w:rPr>
      <w:instrText xml:space="preserve"> PAGE  \* Arabic  \* MERGEFORMAT </w:instrText>
    </w:r>
    <w:r w:rsidRPr="00561D40">
      <w:rPr>
        <w:rFonts w:asciiTheme="minorHAnsi" w:hAnsiTheme="minorHAnsi"/>
        <w:b/>
        <w:sz w:val="20"/>
        <w:szCs w:val="20"/>
      </w:rPr>
      <w:fldChar w:fldCharType="separate"/>
    </w:r>
    <w:r w:rsidR="00123F39">
      <w:rPr>
        <w:rFonts w:asciiTheme="minorHAnsi" w:hAnsiTheme="minorHAnsi"/>
        <w:b/>
        <w:noProof/>
        <w:sz w:val="20"/>
        <w:szCs w:val="20"/>
      </w:rPr>
      <w:t>1</w:t>
    </w:r>
    <w:r w:rsidRPr="00561D40">
      <w:rPr>
        <w:rFonts w:asciiTheme="minorHAnsi" w:hAnsiTheme="minorHAnsi"/>
        <w:b/>
        <w:sz w:val="20"/>
        <w:szCs w:val="20"/>
      </w:rPr>
      <w:fldChar w:fldCharType="end"/>
    </w:r>
    <w:r w:rsidRPr="00561D40">
      <w:rPr>
        <w:rFonts w:asciiTheme="minorHAnsi" w:hAnsiTheme="minorHAnsi"/>
        <w:sz w:val="20"/>
        <w:szCs w:val="20"/>
      </w:rPr>
      <w:t xml:space="preserve"> of </w:t>
    </w:r>
    <w:r w:rsidRPr="00561D40">
      <w:rPr>
        <w:rFonts w:asciiTheme="minorHAnsi" w:hAnsiTheme="minorHAnsi"/>
        <w:b/>
        <w:sz w:val="20"/>
        <w:szCs w:val="20"/>
      </w:rPr>
      <w:fldChar w:fldCharType="begin"/>
    </w:r>
    <w:r w:rsidRPr="00561D40">
      <w:rPr>
        <w:rFonts w:asciiTheme="minorHAnsi" w:hAnsiTheme="minorHAnsi"/>
        <w:b/>
        <w:sz w:val="20"/>
        <w:szCs w:val="20"/>
      </w:rPr>
      <w:instrText xml:space="preserve"> NUMPAGES  \* Arabic  \* MERGEFORMAT </w:instrText>
    </w:r>
    <w:r w:rsidRPr="00561D40">
      <w:rPr>
        <w:rFonts w:asciiTheme="minorHAnsi" w:hAnsiTheme="minorHAnsi"/>
        <w:b/>
        <w:sz w:val="20"/>
        <w:szCs w:val="20"/>
      </w:rPr>
      <w:fldChar w:fldCharType="separate"/>
    </w:r>
    <w:r w:rsidR="00123F39">
      <w:rPr>
        <w:rFonts w:asciiTheme="minorHAnsi" w:hAnsiTheme="minorHAnsi"/>
        <w:b/>
        <w:noProof/>
        <w:sz w:val="20"/>
        <w:szCs w:val="20"/>
      </w:rPr>
      <w:t>1</w:t>
    </w:r>
    <w:r w:rsidRPr="00561D40">
      <w:rPr>
        <w:rFonts w:asciiTheme="minorHAnsi" w:hAnsi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39" w:rsidRDefault="00123F39" w:rsidP="00A40A23">
      <w:r>
        <w:separator/>
      </w:r>
    </w:p>
  </w:footnote>
  <w:footnote w:type="continuationSeparator" w:id="0">
    <w:p w:rsidR="00123F39" w:rsidRDefault="00123F39" w:rsidP="00A40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31" w:rsidRDefault="00123F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D31" w:rsidRDefault="00123F3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7574"/>
    </w:tblGrid>
    <w:tr w:rsidR="00A40A23" w:rsidRPr="00897F3E" w:rsidTr="00E50A7F">
      <w:trPr>
        <w:trHeight w:val="699"/>
      </w:trPr>
      <w:tc>
        <w:tcPr>
          <w:tcW w:w="1668" w:type="dxa"/>
        </w:tcPr>
        <w:p w:rsidR="00A40A23" w:rsidRPr="00897F3E" w:rsidRDefault="00A40A23" w:rsidP="00E50A7F">
          <w:pPr>
            <w:rPr>
              <w:rFonts w:asciiTheme="minorHAnsi" w:hAnsiTheme="minorHAnsi"/>
              <w:b/>
              <w:sz w:val="20"/>
              <w:szCs w:val="20"/>
            </w:rPr>
          </w:pPr>
          <w:r w:rsidRPr="00897F3E">
            <w:rPr>
              <w:rFonts w:asciiTheme="minorHAnsi" w:hAnsiTheme="minorHAnsi"/>
              <w:b/>
              <w:sz w:val="20"/>
              <w:szCs w:val="20"/>
            </w:rPr>
            <w:t>SOP TITLE:</w:t>
          </w:r>
        </w:p>
      </w:tc>
      <w:tc>
        <w:tcPr>
          <w:tcW w:w="7574" w:type="dxa"/>
        </w:tcPr>
        <w:p w:rsidR="00A40A23" w:rsidRPr="00897F3E" w:rsidRDefault="00A40A23" w:rsidP="00E50A7F">
          <w:pPr>
            <w:rPr>
              <w:rFonts w:asciiTheme="minorHAnsi" w:hAnsiTheme="minorHAnsi"/>
              <w:b/>
              <w:sz w:val="20"/>
              <w:szCs w:val="20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t>Disposing of IMP</w:t>
          </w:r>
          <w:r w:rsidRPr="00897F3E">
            <w:rPr>
              <w:rFonts w:asciiTheme="minorHAnsi" w:hAnsiTheme="minorHAnsi"/>
              <w:b/>
              <w:sz w:val="20"/>
              <w:szCs w:val="20"/>
            </w:rPr>
            <w:t xml:space="preserve"> </w:t>
          </w:r>
        </w:p>
      </w:tc>
    </w:tr>
    <w:tr w:rsidR="00A40A23" w:rsidRPr="00897F3E" w:rsidTr="00E50A7F">
      <w:trPr>
        <w:trHeight w:val="252"/>
      </w:trPr>
      <w:tc>
        <w:tcPr>
          <w:tcW w:w="1668" w:type="dxa"/>
        </w:tcPr>
        <w:p w:rsidR="00A40A23" w:rsidRPr="00897F3E" w:rsidRDefault="00A40A23" w:rsidP="00E50A7F">
          <w:pPr>
            <w:rPr>
              <w:rFonts w:asciiTheme="minorHAnsi" w:hAnsiTheme="minorHAnsi"/>
              <w:b/>
              <w:sz w:val="20"/>
              <w:szCs w:val="20"/>
            </w:rPr>
          </w:pPr>
          <w:r w:rsidRPr="00897F3E">
            <w:rPr>
              <w:rFonts w:asciiTheme="minorHAnsi" w:hAnsiTheme="minorHAnsi"/>
              <w:b/>
              <w:sz w:val="20"/>
              <w:szCs w:val="20"/>
            </w:rPr>
            <w:t>SOP Version No:</w:t>
          </w:r>
        </w:p>
      </w:tc>
      <w:tc>
        <w:tcPr>
          <w:tcW w:w="7574" w:type="dxa"/>
        </w:tcPr>
        <w:p w:rsidR="00A40A23" w:rsidRPr="00897F3E" w:rsidRDefault="00A40A23" w:rsidP="00E50A7F">
          <w:pPr>
            <w:rPr>
              <w:rFonts w:asciiTheme="minorHAnsi" w:hAnsiTheme="minorHAnsi"/>
              <w:b/>
              <w:sz w:val="20"/>
              <w:szCs w:val="20"/>
            </w:rPr>
          </w:pPr>
          <w:r w:rsidRPr="00897F3E">
            <w:rPr>
              <w:rFonts w:asciiTheme="minorHAnsi" w:hAnsiTheme="minorHAnsi"/>
              <w:b/>
              <w:sz w:val="20"/>
              <w:szCs w:val="20"/>
            </w:rPr>
            <w:t xml:space="preserve"> 01</w:t>
          </w:r>
        </w:p>
      </w:tc>
    </w:tr>
    <w:tr w:rsidR="00A40A23" w:rsidRPr="00897F3E" w:rsidTr="00E50A7F">
      <w:trPr>
        <w:trHeight w:val="252"/>
      </w:trPr>
      <w:tc>
        <w:tcPr>
          <w:tcW w:w="1668" w:type="dxa"/>
        </w:tcPr>
        <w:p w:rsidR="00A40A23" w:rsidRPr="00897F3E" w:rsidRDefault="00A40A23" w:rsidP="00E50A7F">
          <w:pPr>
            <w:rPr>
              <w:rFonts w:asciiTheme="minorHAnsi" w:hAnsiTheme="minorHAnsi"/>
              <w:b/>
              <w:sz w:val="20"/>
              <w:szCs w:val="20"/>
            </w:rPr>
          </w:pPr>
          <w:r w:rsidRPr="00897F3E">
            <w:rPr>
              <w:rFonts w:asciiTheme="minorHAnsi" w:hAnsiTheme="minorHAnsi"/>
              <w:b/>
              <w:sz w:val="20"/>
              <w:szCs w:val="20"/>
            </w:rPr>
            <w:t>Date:</w:t>
          </w:r>
        </w:p>
      </w:tc>
      <w:tc>
        <w:tcPr>
          <w:tcW w:w="7574" w:type="dxa"/>
        </w:tcPr>
        <w:p w:rsidR="00A40A23" w:rsidRPr="00897F3E" w:rsidRDefault="00A40A23" w:rsidP="00E50A7F">
          <w:pPr>
            <w:rPr>
              <w:rFonts w:asciiTheme="minorHAnsi" w:hAnsiTheme="minorHAnsi"/>
              <w:b/>
              <w:sz w:val="20"/>
              <w:szCs w:val="20"/>
            </w:rPr>
          </w:pPr>
        </w:p>
      </w:tc>
    </w:tr>
  </w:tbl>
  <w:p w:rsidR="00FC3D31" w:rsidRDefault="00123F39" w:rsidP="00D926A7">
    <w:pPr>
      <w:pStyle w:val="Header"/>
      <w:tabs>
        <w:tab w:val="right" w:pos="9000"/>
      </w:tabs>
      <w:ind w:right="360"/>
      <w:rPr>
        <w:b/>
        <w:bCs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01E6"/>
    <w:multiLevelType w:val="multilevel"/>
    <w:tmpl w:val="97FC1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23"/>
    <w:rsid w:val="00123F39"/>
    <w:rsid w:val="00600DE8"/>
    <w:rsid w:val="00A40A23"/>
    <w:rsid w:val="00E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40A23"/>
    <w:pPr>
      <w:keepNext/>
      <w:jc w:val="both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A40A23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0A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40A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0A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A2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40A23"/>
  </w:style>
  <w:style w:type="paragraph" w:styleId="ListParagraph">
    <w:name w:val="List Paragraph"/>
    <w:basedOn w:val="Normal"/>
    <w:uiPriority w:val="34"/>
    <w:qFormat/>
    <w:rsid w:val="00A40A23"/>
    <w:pPr>
      <w:ind w:left="720"/>
    </w:pPr>
  </w:style>
  <w:style w:type="character" w:customStyle="1" w:styleId="Heading3Char">
    <w:name w:val="Heading 3 Char"/>
    <w:basedOn w:val="DefaultParagraphFont"/>
    <w:link w:val="Heading3"/>
    <w:rsid w:val="00A40A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A40A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A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A2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A40A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40A23"/>
    <w:pPr>
      <w:keepNext/>
      <w:jc w:val="both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A40A23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0A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40A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0A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A2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40A23"/>
  </w:style>
  <w:style w:type="paragraph" w:styleId="ListParagraph">
    <w:name w:val="List Paragraph"/>
    <w:basedOn w:val="Normal"/>
    <w:uiPriority w:val="34"/>
    <w:qFormat/>
    <w:rsid w:val="00A40A23"/>
    <w:pPr>
      <w:ind w:left="720"/>
    </w:pPr>
  </w:style>
  <w:style w:type="character" w:customStyle="1" w:styleId="Heading3Char">
    <w:name w:val="Heading 3 Char"/>
    <w:basedOn w:val="DefaultParagraphFont"/>
    <w:link w:val="Heading3"/>
    <w:rsid w:val="00A40A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A40A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A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A2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A40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lobalhealthnetwork.org" TargetMode="External"/><Relationship Id="rId13" Type="http://schemas.openxmlformats.org/officeDocument/2006/relationships/image" Target="media/image1.png"/><Relationship Id="rId3" Type="http://schemas.openxmlformats.org/officeDocument/2006/relationships/hyperlink" Target="http://www.theglobalhealthnetwork.org" TargetMode="External"/><Relationship Id="rId7" Type="http://schemas.openxmlformats.org/officeDocument/2006/relationships/hyperlink" Target="http://www.theglobalhealthnetwork.org" TargetMode="External"/><Relationship Id="rId12" Type="http://schemas.openxmlformats.org/officeDocument/2006/relationships/hyperlink" Target="http://www.theglobalhealthnetwork.org" TargetMode="External"/><Relationship Id="rId2" Type="http://schemas.openxmlformats.org/officeDocument/2006/relationships/hyperlink" Target="http://www.theglobalhealthnetwork.org" TargetMode="External"/><Relationship Id="rId1" Type="http://schemas.openxmlformats.org/officeDocument/2006/relationships/hyperlink" Target="http://www.theglobalhealthnetwork.org" TargetMode="External"/><Relationship Id="rId6" Type="http://schemas.openxmlformats.org/officeDocument/2006/relationships/hyperlink" Target="http://www.theglobalhealthnetwork.org" TargetMode="External"/><Relationship Id="rId11" Type="http://schemas.openxmlformats.org/officeDocument/2006/relationships/hyperlink" Target="http://www.theglobalhealthnetwork.org" TargetMode="External"/><Relationship Id="rId5" Type="http://schemas.openxmlformats.org/officeDocument/2006/relationships/hyperlink" Target="http://www.theglobalhealthnetwork.org" TargetMode="External"/><Relationship Id="rId10" Type="http://schemas.openxmlformats.org/officeDocument/2006/relationships/hyperlink" Target="http://www.theglobalhealthnetwork.org" TargetMode="External"/><Relationship Id="rId4" Type="http://schemas.openxmlformats.org/officeDocument/2006/relationships/hyperlink" Target="http://www.theglobalhealthnetwork.org" TargetMode="External"/><Relationship Id="rId9" Type="http://schemas.openxmlformats.org/officeDocument/2006/relationships/hyperlink" Target="http://www.theglobalhealthne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2633</Characters>
  <Application>Microsoft Office Word</Application>
  <DocSecurity>0</DocSecurity>
  <Lines>21</Lines>
  <Paragraphs>6</Paragraphs>
  <ScaleCrop>false</ScaleCrop>
  <Company>University of Oxford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Tamzin Furtado</dc:creator>
  <cp:lastModifiedBy>Tamzin Furtado</cp:lastModifiedBy>
  <cp:revision>1</cp:revision>
  <dcterms:created xsi:type="dcterms:W3CDTF">2015-08-18T14:42:00Z</dcterms:created>
  <dcterms:modified xsi:type="dcterms:W3CDTF">2015-08-18T14:44:00Z</dcterms:modified>
</cp:coreProperties>
</file>