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D26" w:rsidRPr="00915158" w:rsidRDefault="00B83471" w:rsidP="00D219C6">
      <w:pPr>
        <w:pStyle w:val="Heading1"/>
        <w:rPr>
          <w:lang w:val="en-GB"/>
        </w:rPr>
      </w:pPr>
      <w:r w:rsidRPr="00915158">
        <w:rPr>
          <w:lang w:val="en-GB"/>
        </w:rPr>
        <w:t>Aim</w:t>
      </w:r>
    </w:p>
    <w:p w:rsidR="00B83471" w:rsidRPr="00915158" w:rsidRDefault="00E1421D" w:rsidP="00D219C6">
      <w:pPr>
        <w:rPr>
          <w:lang w:val="en-GB"/>
        </w:rPr>
      </w:pPr>
      <w:r w:rsidRPr="00915158">
        <w:rPr>
          <w:lang w:val="en-GB"/>
        </w:rPr>
        <w:t>To describe the process of identification of parasites in faecal specimens.</w:t>
      </w:r>
    </w:p>
    <w:p w:rsidR="00405ACC" w:rsidRPr="00915158" w:rsidRDefault="00B83471" w:rsidP="00D219C6">
      <w:pPr>
        <w:pStyle w:val="Heading1"/>
        <w:rPr>
          <w:lang w:val="en-GB"/>
        </w:rPr>
      </w:pPr>
      <w:r w:rsidRPr="00915158">
        <w:rPr>
          <w:lang w:val="en-GB"/>
        </w:rPr>
        <w:t>Principle</w:t>
      </w:r>
    </w:p>
    <w:p w:rsidR="003C1A78" w:rsidRPr="00915158" w:rsidRDefault="003C1A78" w:rsidP="00D219C6">
      <w:pPr>
        <w:rPr>
          <w:lang w:val="en-GB"/>
        </w:rPr>
      </w:pPr>
      <w:r w:rsidRPr="00915158">
        <w:rPr>
          <w:lang w:val="en-GB"/>
        </w:rPr>
        <w:t>Faecal specimens may contain a variety of parasites h</w:t>
      </w:r>
      <w:r w:rsidR="002D069B" w:rsidRPr="00915158">
        <w:rPr>
          <w:lang w:val="en-GB"/>
        </w:rPr>
        <w:t>aving both</w:t>
      </w:r>
      <w:r w:rsidRPr="00915158">
        <w:rPr>
          <w:lang w:val="en-GB"/>
        </w:rPr>
        <w:t xml:space="preserve"> intestinal and extra-intestinal manifestations. These parasites include protozoa (amoebae, flagellates/ciliates, and coccidia), nematodes (round worms), trematodes (flukes) and cestodes (flat worms).</w:t>
      </w:r>
    </w:p>
    <w:p w:rsidR="00B83471" w:rsidRPr="00915158" w:rsidRDefault="00D63435" w:rsidP="00D219C6">
      <w:pPr>
        <w:rPr>
          <w:lang w:val="en-GB"/>
        </w:rPr>
      </w:pPr>
      <w:r w:rsidRPr="00915158">
        <w:rPr>
          <w:lang w:val="en-GB"/>
        </w:rPr>
        <w:t>Parasites that may be detected from faecal specimens include:</w:t>
      </w:r>
    </w:p>
    <w:tbl>
      <w:tblPr>
        <w:tblStyle w:val="TableGrid"/>
        <w:tblW w:w="86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7"/>
      </w:tblGrid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Ancylostoma duodenale </w:t>
            </w:r>
            <w:r w:rsidRPr="00915158">
              <w:rPr>
                <w:lang w:val="en-GB"/>
              </w:rPr>
              <w:t xml:space="preserve">and </w:t>
            </w:r>
            <w:r w:rsidRPr="00915158">
              <w:rPr>
                <w:i/>
                <w:lang w:val="en-GB"/>
              </w:rPr>
              <w:t xml:space="preserve">Necator americanus </w:t>
            </w:r>
            <w:r w:rsidRPr="00915158">
              <w:rPr>
                <w:lang w:val="en-GB"/>
              </w:rPr>
              <w:t>(hookworm)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Giardia lamblia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Ascaris lumbricoides (</w:t>
            </w:r>
            <w:r w:rsidRPr="00915158">
              <w:rPr>
                <w:lang w:val="en-GB"/>
              </w:rPr>
              <w:t>adult worms and ova)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Heterophyes heterophyes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Balantidium coli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Hymenolepis nana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Blastocystis hominis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Iodamoeba butschlii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Capillaria philippinensis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Cystoisospora belli</w:t>
            </w:r>
          </w:p>
        </w:tc>
      </w:tr>
      <w:tr w:rsidR="00D63435" w:rsidRPr="006D46AB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Chilomastix mesnili</w:t>
            </w:r>
          </w:p>
        </w:tc>
        <w:tc>
          <w:tcPr>
            <w:tcW w:w="4327" w:type="dxa"/>
          </w:tcPr>
          <w:p w:rsidR="00D63435" w:rsidRPr="006D46AB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fr-FR"/>
              </w:rPr>
            </w:pPr>
            <w:r w:rsidRPr="006D46AB">
              <w:rPr>
                <w:lang w:val="fr-FR"/>
              </w:rPr>
              <w:t>Microsporidia (</w:t>
            </w:r>
            <w:r w:rsidRPr="006D46AB">
              <w:rPr>
                <w:i/>
                <w:lang w:val="fr-FR"/>
              </w:rPr>
              <w:t>Enterocytozoon bieneusi and Encephalitozoon intestinalis</w:t>
            </w:r>
            <w:r w:rsidRPr="006D46AB">
              <w:rPr>
                <w:lang w:val="fr-FR"/>
              </w:rPr>
              <w:t>)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Cryptosporidium </w:t>
            </w:r>
            <w:r w:rsidR="003C1A78" w:rsidRPr="00915158">
              <w:rPr>
                <w:lang w:val="en-GB"/>
              </w:rPr>
              <w:t>spp.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Metagonimus yokogawai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Cyclospora cayetanesis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Nanophyetes salmincola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Dientamoeba fragilis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Opisthorchis sinensis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Diphyllobothrium latum</w:t>
            </w:r>
            <w:r w:rsidR="00CC3DE3">
              <w:rPr>
                <w:i/>
                <w:lang w:val="en-GB"/>
              </w:rPr>
              <w:t xml:space="preserve"> </w:t>
            </w:r>
            <w:r w:rsidR="00CC3DE3">
              <w:rPr>
                <w:lang w:val="en-GB"/>
              </w:rPr>
              <w:t>(tapeworm)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Paragonimus</w:t>
            </w:r>
            <w:r w:rsidRPr="00915158">
              <w:rPr>
                <w:lang w:val="en-GB"/>
              </w:rPr>
              <w:t xml:space="preserve"> </w:t>
            </w:r>
            <w:r w:rsidR="003C1A78" w:rsidRPr="00915158">
              <w:rPr>
                <w:lang w:val="en-GB"/>
              </w:rPr>
              <w:t>spp.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Echinostoma</w:t>
            </w:r>
            <w:r w:rsidRPr="00915158">
              <w:rPr>
                <w:lang w:val="en-GB"/>
              </w:rPr>
              <w:t xml:space="preserve"> </w:t>
            </w:r>
            <w:r w:rsidR="003C1A78" w:rsidRPr="00915158">
              <w:rPr>
                <w:lang w:val="en-GB"/>
              </w:rPr>
              <w:t>spp.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Retortomonas intestinalis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Endolimax nana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Sarcocystis </w:t>
            </w:r>
            <w:r w:rsidR="003C1A78" w:rsidRPr="00915158">
              <w:rPr>
                <w:lang w:val="en-GB"/>
              </w:rPr>
              <w:t>spp.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C95944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Entamoeba histolytica</w:t>
            </w:r>
            <w:r w:rsidR="003C1A78" w:rsidRPr="00915158">
              <w:rPr>
                <w:lang w:val="en-GB"/>
              </w:rPr>
              <w:t xml:space="preserve"> </w:t>
            </w:r>
            <w:r w:rsidR="00C95944">
              <w:rPr>
                <w:lang w:val="en-GB"/>
              </w:rPr>
              <w:t>and</w:t>
            </w:r>
            <w:r w:rsidRPr="00915158">
              <w:rPr>
                <w:lang w:val="en-GB"/>
              </w:rPr>
              <w:t xml:space="preserve"> other </w:t>
            </w:r>
            <w:r w:rsidRPr="00915158">
              <w:rPr>
                <w:i/>
                <w:lang w:val="en-GB"/>
              </w:rPr>
              <w:t xml:space="preserve">Entamoeba </w:t>
            </w:r>
            <w:r w:rsidR="003C1A78" w:rsidRPr="00915158">
              <w:rPr>
                <w:lang w:val="en-GB"/>
              </w:rPr>
              <w:t>spp.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Schistosoma </w:t>
            </w:r>
            <w:r w:rsidR="003C1A78" w:rsidRPr="00915158">
              <w:rPr>
                <w:lang w:val="en-GB"/>
              </w:rPr>
              <w:t>spp.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>Enterobius</w:t>
            </w:r>
            <w:r w:rsidR="003C1A78" w:rsidRPr="00915158">
              <w:rPr>
                <w:i/>
                <w:lang w:val="en-GB"/>
              </w:rPr>
              <w:t xml:space="preserve"> </w:t>
            </w:r>
            <w:r w:rsidRPr="00915158">
              <w:rPr>
                <w:lang w:val="en-GB"/>
              </w:rPr>
              <w:t>vermicularis (adult worms and ova)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Strongyloides stercoralis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Enteromonas hominis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Taenia </w:t>
            </w:r>
            <w:r w:rsidRPr="00915158">
              <w:rPr>
                <w:lang w:val="en-GB"/>
              </w:rPr>
              <w:t xml:space="preserve">spp. (tapeworm, </w:t>
            </w:r>
            <w:r w:rsidRPr="00915158">
              <w:rPr>
                <w:i/>
                <w:lang w:val="en-GB"/>
              </w:rPr>
              <w:t xml:space="preserve">T. saginata </w:t>
            </w:r>
            <w:r w:rsidRPr="00915158">
              <w:rPr>
                <w:lang w:val="en-GB"/>
              </w:rPr>
              <w:t>worms and ova</w:t>
            </w:r>
            <w:r w:rsidRPr="00915158">
              <w:rPr>
                <w:i/>
                <w:lang w:val="en-GB"/>
              </w:rPr>
              <w:t>, Taenia solium</w:t>
            </w:r>
            <w:r w:rsidRPr="00915158">
              <w:rPr>
                <w:lang w:val="en-GB"/>
              </w:rPr>
              <w:t>)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Fasciola hepatica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lang w:val="en-GB"/>
              </w:rPr>
            </w:pPr>
            <w:r w:rsidRPr="00915158">
              <w:rPr>
                <w:i/>
                <w:lang w:val="en-GB"/>
              </w:rPr>
              <w:t xml:space="preserve">Trichuris trichiura </w:t>
            </w:r>
            <w:r w:rsidRPr="00915158">
              <w:rPr>
                <w:lang w:val="en-GB"/>
              </w:rPr>
              <w:t>(whipworm)</w:t>
            </w:r>
          </w:p>
        </w:tc>
      </w:tr>
      <w:tr w:rsidR="00D63435" w:rsidRPr="00915158" w:rsidTr="00D63435">
        <w:tc>
          <w:tcPr>
            <w:tcW w:w="4320" w:type="dxa"/>
          </w:tcPr>
          <w:p w:rsidR="00D63435" w:rsidRPr="00915158" w:rsidRDefault="00D63435" w:rsidP="003C1A78">
            <w:pPr>
              <w:pStyle w:val="ListParagraph"/>
              <w:numPr>
                <w:ilvl w:val="0"/>
                <w:numId w:val="7"/>
              </w:numPr>
              <w:spacing w:after="0"/>
              <w:jc w:val="left"/>
              <w:rPr>
                <w:i/>
                <w:lang w:val="en-GB"/>
              </w:rPr>
            </w:pPr>
            <w:r w:rsidRPr="00915158">
              <w:rPr>
                <w:i/>
                <w:lang w:val="en-GB"/>
              </w:rPr>
              <w:t>Fasciolopsis buski</w:t>
            </w:r>
          </w:p>
        </w:tc>
        <w:tc>
          <w:tcPr>
            <w:tcW w:w="4327" w:type="dxa"/>
          </w:tcPr>
          <w:p w:rsidR="00D63435" w:rsidRPr="00915158" w:rsidRDefault="00D63435" w:rsidP="003C1A78">
            <w:pPr>
              <w:spacing w:after="0"/>
              <w:jc w:val="left"/>
              <w:rPr>
                <w:lang w:val="en-GB"/>
              </w:rPr>
            </w:pPr>
          </w:p>
        </w:tc>
      </w:tr>
    </w:tbl>
    <w:p w:rsidR="00BF4A7B" w:rsidRPr="00915158" w:rsidRDefault="00BF4A7B" w:rsidP="00BF4A7B">
      <w:pPr>
        <w:rPr>
          <w:lang w:val="en-GB"/>
        </w:rPr>
        <w:sectPr w:rsidR="00BF4A7B" w:rsidRPr="00915158" w:rsidSect="006C64AF">
          <w:headerReference w:type="default" r:id="rId9"/>
          <w:footerReference w:type="default" r:id="rId10"/>
          <w:pgSz w:w="12240" w:h="15840"/>
          <w:pgMar w:top="1440" w:right="1800" w:bottom="1440" w:left="1800" w:header="708" w:footer="708" w:gutter="0"/>
          <w:cols w:space="708"/>
          <w:docGrid w:linePitch="326"/>
        </w:sectPr>
      </w:pPr>
    </w:p>
    <w:p w:rsidR="00BF4A7B" w:rsidRPr="00915158" w:rsidRDefault="00BF4A7B" w:rsidP="00BF4A7B">
      <w:pPr>
        <w:pStyle w:val="Heading1"/>
        <w:rPr>
          <w:lang w:val="en-GB"/>
        </w:rPr>
      </w:pPr>
      <w:r w:rsidRPr="00915158">
        <w:rPr>
          <w:lang w:val="en-GB"/>
        </w:rPr>
        <w:lastRenderedPageBreak/>
        <w:t>Method</w:t>
      </w:r>
    </w:p>
    <w:p w:rsidR="00E1421D" w:rsidRPr="00915158" w:rsidRDefault="00E1421D" w:rsidP="00E1421D">
      <w:pPr>
        <w:pStyle w:val="Heading2"/>
        <w:rPr>
          <w:lang w:val="en-GB"/>
        </w:rPr>
      </w:pPr>
      <w:r w:rsidRPr="00915158">
        <w:rPr>
          <w:lang w:val="en-GB"/>
        </w:rPr>
        <w:t>Specimen collection</w:t>
      </w:r>
    </w:p>
    <w:p w:rsidR="00E1421D" w:rsidRPr="00915158" w:rsidRDefault="00E1421D" w:rsidP="00E1421D">
      <w:pPr>
        <w:rPr>
          <w:lang w:val="en-GB"/>
        </w:rPr>
      </w:pPr>
      <w:r w:rsidRPr="00915158">
        <w:rPr>
          <w:lang w:val="en-GB"/>
        </w:rPr>
        <w:t>Faecal specimens are preferred to rectal swabs. Specimens should be collected into wide-mouthed leak-proof sterile plastic pots.</w:t>
      </w:r>
    </w:p>
    <w:p w:rsidR="00E1421D" w:rsidRPr="00915158" w:rsidRDefault="00E1421D" w:rsidP="00E1421D">
      <w:pPr>
        <w:pStyle w:val="Heading2"/>
        <w:rPr>
          <w:lang w:val="en-GB"/>
        </w:rPr>
      </w:pPr>
      <w:r w:rsidRPr="00915158">
        <w:rPr>
          <w:lang w:val="en-GB"/>
        </w:rPr>
        <w:t>Specimen transport and storage</w:t>
      </w:r>
    </w:p>
    <w:p w:rsidR="00E1421D" w:rsidRPr="00915158" w:rsidRDefault="00E1421D" w:rsidP="00E1421D">
      <w:pPr>
        <w:rPr>
          <w:lang w:val="en-GB"/>
        </w:rPr>
      </w:pPr>
      <w:r w:rsidRPr="00915158">
        <w:rPr>
          <w:lang w:val="en-GB"/>
        </w:rPr>
        <w:t>Specimens should ideally be stored and transported in sealed plastic bags. Laboratory processing should occur as soon as possible after specimen collection</w:t>
      </w:r>
      <w:r w:rsidR="009D0D80" w:rsidRPr="00915158">
        <w:rPr>
          <w:lang w:val="en-GB"/>
        </w:rPr>
        <w:t xml:space="preserve">, especially for identification of </w:t>
      </w:r>
      <w:r w:rsidR="009D0D80" w:rsidRPr="00915158">
        <w:rPr>
          <w:i/>
          <w:lang w:val="en-GB"/>
        </w:rPr>
        <w:t xml:space="preserve">Entamoeba histolytica </w:t>
      </w:r>
      <w:r w:rsidR="009D0D80" w:rsidRPr="00915158">
        <w:rPr>
          <w:lang w:val="en-GB"/>
        </w:rPr>
        <w:t>trophozoites in suspected amoebic dysentery</w:t>
      </w:r>
      <w:r w:rsidRPr="00915158">
        <w:rPr>
          <w:lang w:val="en-GB"/>
        </w:rPr>
        <w:t>. Specimens should be refrigerated if delays in processing over two hours are unavoidable.</w:t>
      </w:r>
    </w:p>
    <w:p w:rsidR="00E1421D" w:rsidRPr="00915158" w:rsidRDefault="00E1421D" w:rsidP="00E1421D">
      <w:pPr>
        <w:pStyle w:val="Heading2"/>
        <w:rPr>
          <w:lang w:val="en-GB"/>
        </w:rPr>
      </w:pPr>
      <w:r w:rsidRPr="00915158">
        <w:rPr>
          <w:lang w:val="en-GB"/>
        </w:rPr>
        <w:t>Specimen processing</w:t>
      </w:r>
    </w:p>
    <w:p w:rsidR="00E1421D" w:rsidRPr="00915158" w:rsidRDefault="00E1421D" w:rsidP="00E1421D">
      <w:pPr>
        <w:pStyle w:val="Heading3"/>
        <w:rPr>
          <w:lang w:val="en-GB"/>
        </w:rPr>
      </w:pPr>
      <w:r w:rsidRPr="00915158">
        <w:rPr>
          <w:lang w:val="en-GB"/>
        </w:rPr>
        <w:t>Reception</w:t>
      </w:r>
    </w:p>
    <w:p w:rsidR="00E1421D" w:rsidRPr="00915158" w:rsidRDefault="00E1421D" w:rsidP="00E1421D">
      <w:pPr>
        <w:rPr>
          <w:lang w:val="en-GB"/>
        </w:rPr>
      </w:pPr>
      <w:r w:rsidRPr="00915158">
        <w:rPr>
          <w:lang w:val="en-GB"/>
        </w:rPr>
        <w:t>Log the specimen in the appropriate specimen book and assign a specimen number. If culture is also requested, follow SOP MIC-007 in addition to this SOP.</w:t>
      </w:r>
    </w:p>
    <w:p w:rsidR="00791C76" w:rsidRPr="00915158" w:rsidRDefault="00791C76" w:rsidP="00E1421D">
      <w:pPr>
        <w:rPr>
          <w:lang w:val="en-GB"/>
        </w:rPr>
      </w:pPr>
      <w:r w:rsidRPr="00915158">
        <w:rPr>
          <w:lang w:val="en-GB"/>
        </w:rPr>
        <w:t>Preparation of slides and concentrates should be done in the Class II biosafety cabinet.</w:t>
      </w:r>
    </w:p>
    <w:p w:rsidR="00E1421D" w:rsidRPr="00915158" w:rsidRDefault="00E1421D" w:rsidP="00E1421D">
      <w:pPr>
        <w:pStyle w:val="Heading3"/>
        <w:rPr>
          <w:lang w:val="en-GB"/>
        </w:rPr>
      </w:pPr>
      <w:r w:rsidRPr="00915158">
        <w:rPr>
          <w:lang w:val="en-GB"/>
        </w:rPr>
        <w:t>Microscopic examination</w:t>
      </w:r>
    </w:p>
    <w:p w:rsidR="00BF4A7B" w:rsidRPr="00915158" w:rsidRDefault="005C1B9E" w:rsidP="00BF4A7B">
      <w:pPr>
        <w:pStyle w:val="Heading4"/>
        <w:rPr>
          <w:lang w:val="en-GB"/>
        </w:rPr>
      </w:pPr>
      <w:r w:rsidRPr="00915158">
        <w:rPr>
          <w:lang w:val="en-GB"/>
        </w:rPr>
        <w:t>Direct wet preparation of faeces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>If the stool is not wet enough for a preparation, first emulsify the stool using distilled water and a tongue depressor (thick wooden stick) to make a smooth paste.</w:t>
      </w:r>
    </w:p>
    <w:p w:rsidR="00855C54" w:rsidRPr="00915158" w:rsidRDefault="00855C54" w:rsidP="00855C54">
      <w:pPr>
        <w:rPr>
          <w:lang w:val="en-GB"/>
        </w:rPr>
      </w:pPr>
      <w:r w:rsidRPr="00915158">
        <w:rPr>
          <w:lang w:val="en-GB"/>
        </w:rPr>
        <w:t>Make sure the sample is well mixed. If the sample contains blood or mucous examine this area of the stool.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 xml:space="preserve">Place a drop of saline on a </w:t>
      </w:r>
      <w:r w:rsidR="00855C54" w:rsidRPr="00915158">
        <w:rPr>
          <w:lang w:val="en-GB"/>
        </w:rPr>
        <w:t xml:space="preserve">clean microscope </w:t>
      </w:r>
      <w:r w:rsidRPr="00915158">
        <w:rPr>
          <w:lang w:val="en-GB"/>
        </w:rPr>
        <w:t>slide.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>Using a small wooden applicator</w:t>
      </w:r>
      <w:r w:rsidR="00855C54" w:rsidRPr="00915158">
        <w:rPr>
          <w:lang w:val="en-GB"/>
        </w:rPr>
        <w:t>, or a Pasteur pipette if the sample is very wet,</w:t>
      </w:r>
      <w:r w:rsidRPr="00915158">
        <w:rPr>
          <w:lang w:val="en-GB"/>
        </w:rPr>
        <w:t xml:space="preserve"> pick up a small amount of faeces</w:t>
      </w:r>
      <w:r w:rsidR="00855C54" w:rsidRPr="00915158">
        <w:rPr>
          <w:lang w:val="en-GB"/>
        </w:rPr>
        <w:t xml:space="preserve"> and transfer to the saline drop on the slide.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>Place a coverslip on top of the sample, making sure that the coverslip is flat</w:t>
      </w:r>
      <w:r w:rsidR="00855C54" w:rsidRPr="00915158">
        <w:rPr>
          <w:lang w:val="en-GB"/>
        </w:rPr>
        <w:t>.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 xml:space="preserve">Scan the </w:t>
      </w:r>
      <w:r w:rsidR="00855C54" w:rsidRPr="00915158">
        <w:rPr>
          <w:lang w:val="en-GB"/>
        </w:rPr>
        <w:t xml:space="preserve">whole of the slide </w:t>
      </w:r>
      <w:r w:rsidRPr="00915158">
        <w:rPr>
          <w:lang w:val="en-GB"/>
        </w:rPr>
        <w:t>using the x10 objective with the condenser iris closed to give a good contrast</w:t>
      </w:r>
      <w:r w:rsidR="00855C54" w:rsidRPr="00915158">
        <w:rPr>
          <w:lang w:val="en-GB"/>
        </w:rPr>
        <w:t xml:space="preserve"> (Figure 1).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lang w:val="en-GB"/>
        </w:rPr>
        <w:t>Confirm any parasites using the x40 microscope objective</w:t>
      </w:r>
      <w:r w:rsidR="00855C54" w:rsidRPr="00915158">
        <w:rPr>
          <w:lang w:val="en-GB"/>
        </w:rPr>
        <w:t>:</w:t>
      </w:r>
    </w:p>
    <w:p w:rsidR="005C1B9E" w:rsidRPr="00915158" w:rsidRDefault="00855C54" w:rsidP="00855C54">
      <w:pPr>
        <w:pStyle w:val="ListParagraph"/>
        <w:numPr>
          <w:ilvl w:val="0"/>
          <w:numId w:val="10"/>
        </w:numPr>
        <w:rPr>
          <w:lang w:val="en-GB"/>
        </w:rPr>
      </w:pPr>
      <w:r w:rsidRPr="00915158">
        <w:rPr>
          <w:lang w:val="en-GB"/>
        </w:rPr>
        <w:t>Examine for</w:t>
      </w:r>
      <w:r w:rsidR="005C1B9E" w:rsidRPr="00915158">
        <w:rPr>
          <w:lang w:val="en-GB"/>
        </w:rPr>
        <w:t xml:space="preserve"> </w:t>
      </w:r>
      <w:r w:rsidR="005C1B9E" w:rsidRPr="00915158">
        <w:rPr>
          <w:i/>
          <w:lang w:val="en-GB"/>
        </w:rPr>
        <w:t>E. his</w:t>
      </w:r>
      <w:r w:rsidRPr="00915158">
        <w:rPr>
          <w:i/>
          <w:lang w:val="en-GB"/>
        </w:rPr>
        <w:t>t</w:t>
      </w:r>
      <w:r w:rsidR="005C1B9E" w:rsidRPr="00915158">
        <w:rPr>
          <w:i/>
          <w:lang w:val="en-GB"/>
        </w:rPr>
        <w:t>olytica</w:t>
      </w:r>
      <w:r w:rsidRPr="00915158">
        <w:rPr>
          <w:lang w:val="en-GB"/>
        </w:rPr>
        <w:t xml:space="preserve"> trophozoites </w:t>
      </w:r>
      <w:r w:rsidR="005C1B9E" w:rsidRPr="00915158">
        <w:rPr>
          <w:lang w:val="en-GB"/>
        </w:rPr>
        <w:t>if the sample arriv</w:t>
      </w:r>
      <w:r w:rsidRPr="00915158">
        <w:rPr>
          <w:lang w:val="en-GB"/>
        </w:rPr>
        <w:t>es at the lab within 30 minutes</w:t>
      </w:r>
    </w:p>
    <w:p w:rsidR="005C1B9E" w:rsidRPr="00915158" w:rsidRDefault="00855C54" w:rsidP="00855C54">
      <w:pPr>
        <w:pStyle w:val="ListParagraph"/>
        <w:numPr>
          <w:ilvl w:val="0"/>
          <w:numId w:val="10"/>
        </w:numPr>
        <w:rPr>
          <w:lang w:val="en-GB"/>
        </w:rPr>
      </w:pPr>
      <w:r w:rsidRPr="00915158">
        <w:rPr>
          <w:lang w:val="en-GB"/>
        </w:rPr>
        <w:lastRenderedPageBreak/>
        <w:t>If cysts are seen,</w:t>
      </w:r>
      <w:r w:rsidR="005C1B9E" w:rsidRPr="00915158">
        <w:rPr>
          <w:lang w:val="en-GB"/>
        </w:rPr>
        <w:t xml:space="preserve"> but not </w:t>
      </w:r>
      <w:r w:rsidRPr="00915158">
        <w:rPr>
          <w:lang w:val="en-GB"/>
        </w:rPr>
        <w:t xml:space="preserve">readily </w:t>
      </w:r>
      <w:r w:rsidR="005C1B9E" w:rsidRPr="00915158">
        <w:rPr>
          <w:lang w:val="en-GB"/>
        </w:rPr>
        <w:t>identified</w:t>
      </w:r>
      <w:r w:rsidRPr="00915158">
        <w:rPr>
          <w:lang w:val="en-GB"/>
        </w:rPr>
        <w:t>,</w:t>
      </w:r>
      <w:r w:rsidR="005C1B9E" w:rsidRPr="00915158">
        <w:rPr>
          <w:lang w:val="en-GB"/>
        </w:rPr>
        <w:t xml:space="preserve"> use a small drop of Lugol’s iodine to</w:t>
      </w:r>
      <w:r w:rsidRPr="00915158">
        <w:rPr>
          <w:lang w:val="en-GB"/>
        </w:rPr>
        <w:t xml:space="preserve"> add to the slide to assist in identification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b/>
          <w:lang w:val="en-GB"/>
        </w:rPr>
        <w:t>Figure 1.</w:t>
      </w:r>
      <w:r w:rsidRPr="00915158">
        <w:rPr>
          <w:lang w:val="en-GB"/>
        </w:rPr>
        <w:t xml:space="preserve"> Examination of a faecal smear</w:t>
      </w:r>
    </w:p>
    <w:p w:rsidR="005C1B9E" w:rsidRPr="00915158" w:rsidRDefault="005C1B9E" w:rsidP="005C1B9E">
      <w:pPr>
        <w:rPr>
          <w:lang w:val="en-GB"/>
        </w:rPr>
      </w:pPr>
      <w:r w:rsidRPr="00915158">
        <w:rPr>
          <w:rFonts w:ascii="Arial Unicode MS" w:eastAsia="Arial Unicode MS" w:hAnsi="Arial Unicode MS" w:cs="Times New Roman"/>
          <w:noProof/>
          <w:lang w:val="en-GB" w:eastAsia="en-GB"/>
        </w:rPr>
        <w:drawing>
          <wp:inline distT="0" distB="0" distL="0" distR="0" wp14:anchorId="44681D06" wp14:editId="692E52FB">
            <wp:extent cx="4448921" cy="1800000"/>
            <wp:effectExtent l="0" t="0" r="0" b="0"/>
            <wp:docPr id="12" name="Picture 12" descr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B9E" w:rsidRPr="00915158" w:rsidRDefault="004F3932" w:rsidP="004F3932">
      <w:pPr>
        <w:pStyle w:val="Heading4"/>
        <w:rPr>
          <w:lang w:val="en-GB"/>
        </w:rPr>
      </w:pPr>
      <w:r w:rsidRPr="00915158">
        <w:rPr>
          <w:lang w:val="en-GB"/>
        </w:rPr>
        <w:t>Concentration of the specimen using the Evergreen concentrator</w:t>
      </w:r>
    </w:p>
    <w:p w:rsidR="00791C76" w:rsidRPr="00915158" w:rsidRDefault="00791C76" w:rsidP="00791C76">
      <w:pPr>
        <w:rPr>
          <w:lang w:val="en-GB"/>
        </w:rPr>
      </w:pPr>
      <w:r w:rsidRPr="00915158">
        <w:rPr>
          <w:lang w:val="en-GB"/>
        </w:rPr>
        <w:t>The method uses a modification of the Ritchie formalin-ether concentration method; the device replaces the funnel-gauze filtrations with two polypropylene tubes and an interconnected plastic strainer unit.</w:t>
      </w:r>
      <w:r w:rsidR="00752301" w:rsidRPr="00915158">
        <w:rPr>
          <w:lang w:val="en-GB"/>
        </w:rPr>
        <w:t xml:space="preserve"> Petrol </w:t>
      </w:r>
      <w:r w:rsidR="00F756EF">
        <w:rPr>
          <w:lang w:val="en-GB"/>
        </w:rPr>
        <w:t xml:space="preserve">(gasoline) </w:t>
      </w:r>
      <w:r w:rsidR="00752301" w:rsidRPr="00915158">
        <w:rPr>
          <w:lang w:val="en-GB"/>
        </w:rPr>
        <w:t xml:space="preserve">is used in place of </w:t>
      </w:r>
      <w:r w:rsidR="0066384A">
        <w:rPr>
          <w:lang w:val="en-GB"/>
        </w:rPr>
        <w:t>diethyl-</w:t>
      </w:r>
      <w:r w:rsidR="00752301" w:rsidRPr="00915158">
        <w:rPr>
          <w:lang w:val="en-GB"/>
        </w:rPr>
        <w:t>ether.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 xml:space="preserve">Add 10ml of 10% formol saline to </w:t>
      </w:r>
      <w:r w:rsidR="00C31A43" w:rsidRPr="00915158">
        <w:rPr>
          <w:lang w:val="en-GB"/>
        </w:rPr>
        <w:t>a</w:t>
      </w:r>
      <w:r w:rsidRPr="00915158">
        <w:rPr>
          <w:lang w:val="en-GB"/>
        </w:rPr>
        <w:t xml:space="preserve"> flat bottomed tube.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 xml:space="preserve">Add 1 full, flattened spoon (1-2g) of faeces </w:t>
      </w:r>
      <w:r w:rsidR="00C31A43" w:rsidRPr="00915158">
        <w:rPr>
          <w:lang w:val="en-GB"/>
        </w:rPr>
        <w:t xml:space="preserve">(1-2ml if liquid specimen received) </w:t>
      </w:r>
      <w:r w:rsidRPr="00915158">
        <w:rPr>
          <w:lang w:val="en-GB"/>
        </w:rPr>
        <w:t>into the tube and mix well with the spoon</w:t>
      </w:r>
      <w:r w:rsidR="00C31A43" w:rsidRPr="00915158">
        <w:rPr>
          <w:lang w:val="en-GB"/>
        </w:rPr>
        <w:t>:</w:t>
      </w:r>
    </w:p>
    <w:p w:rsidR="00C31A43" w:rsidRPr="00915158" w:rsidRDefault="003B0007" w:rsidP="00C31A43">
      <w:pPr>
        <w:pStyle w:val="ListParagraph"/>
        <w:numPr>
          <w:ilvl w:val="0"/>
          <w:numId w:val="12"/>
        </w:numPr>
        <w:rPr>
          <w:lang w:val="en-GB"/>
        </w:rPr>
      </w:pPr>
      <w:r>
        <w:rPr>
          <w:lang w:val="en-GB"/>
        </w:rPr>
        <w:t>If the faecal specimen</w:t>
      </w:r>
      <w:r w:rsidR="00C31A43" w:rsidRPr="00915158">
        <w:rPr>
          <w:lang w:val="en-GB"/>
        </w:rPr>
        <w:t xml:space="preserve"> is too solid, first add a small volume of distilled water to the specimen pot and emulsify with a wooden spatula.</w:t>
      </w:r>
    </w:p>
    <w:p w:rsidR="00791C76" w:rsidRPr="00915158" w:rsidRDefault="00791C76" w:rsidP="00C31A43">
      <w:pPr>
        <w:pStyle w:val="ListParagraph"/>
        <w:numPr>
          <w:ilvl w:val="0"/>
          <w:numId w:val="12"/>
        </w:numPr>
        <w:rPr>
          <w:lang w:val="en-GB"/>
        </w:rPr>
      </w:pPr>
      <w:r w:rsidRPr="00915158">
        <w:rPr>
          <w:lang w:val="en-GB"/>
        </w:rPr>
        <w:t>Agitate with a wooden stick if the faeces will not go into solution easily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Place the lid on the tube and shake well, then vortex for 20 seconds to emulsify the faeces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Place the green lid with the filter onto the tube with the conical bottom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Unscrew the lid on the tube containing the faeces and place the green lid with the filter and tube on top.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Invert the tubes over and shake the solution down to the conical tube</w:t>
      </w:r>
      <w:r w:rsidR="00C31A43" w:rsidRPr="00915158">
        <w:rPr>
          <w:lang w:val="en-GB"/>
        </w:rPr>
        <w:t>.</w:t>
      </w:r>
    </w:p>
    <w:p w:rsidR="00791C76" w:rsidRPr="00915158" w:rsidRDefault="005C3D10" w:rsidP="00C31A43">
      <w:pPr>
        <w:rPr>
          <w:lang w:val="en-GB"/>
        </w:rPr>
      </w:pPr>
      <w:r>
        <w:rPr>
          <w:lang w:val="en-GB"/>
        </w:rPr>
        <w:t>Remove the filter and</w:t>
      </w:r>
      <w:r w:rsidR="00791C76" w:rsidRPr="00915158">
        <w:rPr>
          <w:lang w:val="en-GB"/>
        </w:rPr>
        <w:t xml:space="preserve"> discard any solid matter from the filter and top tube into the discard pot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Place the filter and tube into another discard pot (to keep overnight and wash the next day)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Add 1-2ml of petrol to the tube (by pouring), replace the lid and shake the tube well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Leave the tube to stand for 2 minutes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Centrifuge at 2,500 rpm for 3 minutes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Pour the fatty plug and supernatant into the discard pot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Remove any faecal debris from the side of the tube with a swab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Resuspend the deposit in 0.85% saline (amount depending on amount of deposit)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>Let the first two drops fall back into the specimen tube then place two drops on a slide with two coverslips examine first with the x10 objective with the x40 objective</w:t>
      </w:r>
      <w:r w:rsidR="00C31A43" w:rsidRPr="00915158">
        <w:rPr>
          <w:lang w:val="en-GB"/>
        </w:rPr>
        <w:t>.</w:t>
      </w:r>
    </w:p>
    <w:p w:rsidR="00791C76" w:rsidRPr="00915158" w:rsidRDefault="00791C76" w:rsidP="00C31A43">
      <w:pPr>
        <w:rPr>
          <w:lang w:val="en-GB"/>
        </w:rPr>
      </w:pPr>
      <w:r w:rsidRPr="00915158">
        <w:rPr>
          <w:lang w:val="en-GB"/>
        </w:rPr>
        <w:t xml:space="preserve">Prepare a modified ZN stain for </w:t>
      </w:r>
      <w:r w:rsidRPr="00915158">
        <w:rPr>
          <w:i/>
          <w:lang w:val="en-GB"/>
        </w:rPr>
        <w:t xml:space="preserve">Cryptosporidium </w:t>
      </w:r>
      <w:r w:rsidRPr="00915158">
        <w:rPr>
          <w:lang w:val="en-GB"/>
        </w:rPr>
        <w:t>spp. (SOP MID-001)</w:t>
      </w:r>
      <w:r w:rsidR="00C31A43" w:rsidRPr="00915158">
        <w:rPr>
          <w:lang w:val="en-GB"/>
        </w:rPr>
        <w:t>.</w:t>
      </w:r>
    </w:p>
    <w:p w:rsidR="00D63435" w:rsidRPr="00915158" w:rsidRDefault="00BF4A7B" w:rsidP="00D63435">
      <w:pPr>
        <w:pStyle w:val="Heading1"/>
        <w:rPr>
          <w:lang w:val="en-GB"/>
        </w:rPr>
      </w:pPr>
      <w:r w:rsidRPr="00915158">
        <w:rPr>
          <w:lang w:val="en-GB"/>
        </w:rPr>
        <w:t>Interpretation</w:t>
      </w:r>
    </w:p>
    <w:p w:rsidR="00BF4A7B" w:rsidRPr="00915158" w:rsidRDefault="00BF4A7B" w:rsidP="00BF4A7B">
      <w:pPr>
        <w:pStyle w:val="Heading2"/>
        <w:rPr>
          <w:lang w:val="en-GB"/>
        </w:rPr>
      </w:pPr>
      <w:r w:rsidRPr="00915158">
        <w:rPr>
          <w:lang w:val="en-GB"/>
        </w:rPr>
        <w:t>Minimum level of identification in the laboratory</w:t>
      </w:r>
    </w:p>
    <w:p w:rsidR="00BF4A7B" w:rsidRPr="00915158" w:rsidRDefault="00906307" w:rsidP="00BF4A7B">
      <w:pPr>
        <w:rPr>
          <w:lang w:val="en-GB"/>
        </w:rPr>
      </w:pPr>
      <w:r w:rsidRPr="00915158">
        <w:rPr>
          <w:lang w:val="en-GB"/>
        </w:rPr>
        <w:t xml:space="preserve">Parasites should be identified with reference to the figures in Appendix 1 and the </w:t>
      </w:r>
      <w:r w:rsidRPr="00C95944">
        <w:rPr>
          <w:lang w:val="en-GB"/>
        </w:rPr>
        <w:t>WHO charts</w:t>
      </w:r>
      <w:r w:rsidRPr="00915158">
        <w:rPr>
          <w:lang w:val="en-GB"/>
        </w:rPr>
        <w:t xml:space="preserve"> in the laboratory.</w:t>
      </w:r>
      <w:r w:rsidR="00915158">
        <w:rPr>
          <w:lang w:val="en-GB"/>
        </w:rPr>
        <w:t xml:space="preserve"> </w:t>
      </w:r>
      <w:r w:rsidR="00915158" w:rsidRPr="00915158">
        <w:rPr>
          <w:lang w:val="en-GB"/>
        </w:rPr>
        <w:t>Quantitation should be done following Table 1.</w:t>
      </w:r>
    </w:p>
    <w:p w:rsidR="00906307" w:rsidRPr="00915158" w:rsidRDefault="00906307" w:rsidP="00BF4A7B">
      <w:pPr>
        <w:rPr>
          <w:lang w:val="en-GB"/>
        </w:rPr>
      </w:pPr>
      <w:r w:rsidRPr="00915158">
        <w:rPr>
          <w:lang w:val="en-GB"/>
        </w:rPr>
        <w:t>Measurement of trophozoites/cyst size using a calibrated eyepiece micrometer is an important aspect of parasite identification (calibration procedure described in Appendix 2).</w:t>
      </w:r>
    </w:p>
    <w:p w:rsidR="00FB346B" w:rsidRPr="00915158" w:rsidRDefault="00FB346B" w:rsidP="00FB346B">
      <w:pPr>
        <w:rPr>
          <w:szCs w:val="24"/>
          <w:lang w:val="en-GB"/>
        </w:rPr>
      </w:pPr>
      <w:r w:rsidRPr="00915158">
        <w:rPr>
          <w:b/>
          <w:noProof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CADD757" wp14:editId="742AE903">
                <wp:simplePos x="0" y="0"/>
                <wp:positionH relativeFrom="column">
                  <wp:posOffset>6676390</wp:posOffset>
                </wp:positionH>
                <wp:positionV relativeFrom="paragraph">
                  <wp:posOffset>4852035</wp:posOffset>
                </wp:positionV>
                <wp:extent cx="3772535" cy="2444115"/>
                <wp:effectExtent l="0" t="381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72535" cy="244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25.7pt;margin-top:382.05pt;width:297.05pt;height:192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915158">
        <w:rPr>
          <w:b/>
          <w:szCs w:val="24"/>
          <w:lang w:val="en-GB"/>
        </w:rPr>
        <w:t>Table 1.</w:t>
      </w:r>
      <w:r w:rsidRPr="00915158">
        <w:rPr>
          <w:szCs w:val="24"/>
          <w:lang w:val="en-GB"/>
        </w:rPr>
        <w:t xml:space="preserve"> Quantification of faecal parasites</w:t>
      </w:r>
    </w:p>
    <w:tbl>
      <w:tblPr>
        <w:tblW w:w="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2126"/>
      </w:tblGrid>
      <w:tr w:rsidR="00FB346B" w:rsidRPr="00915158" w:rsidTr="00915158">
        <w:trPr>
          <w:trHeight w:val="493"/>
        </w:trPr>
        <w:tc>
          <w:tcPr>
            <w:tcW w:w="3744" w:type="dxa"/>
            <w:shd w:val="clear" w:color="auto" w:fill="BFBFBF" w:themeFill="background1" w:themeFillShade="B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b/>
                <w:color w:val="000000"/>
                <w:kern w:val="28"/>
                <w:sz w:val="19"/>
                <w:szCs w:val="19"/>
                <w:vertAlign w:val="superscript"/>
                <w:lang w:val="en-GB"/>
                <w14:cntxtAlts/>
              </w:rPr>
            </w:pPr>
            <w:r w:rsidRPr="00915158">
              <w:rPr>
                <w:b/>
                <w:lang w:val="en-GB"/>
              </w:rPr>
              <w:t>Number of parasite ova / cysts (x40)</w:t>
            </w:r>
          </w:p>
        </w:tc>
        <w:tc>
          <w:tcPr>
            <w:tcW w:w="2126" w:type="dxa"/>
            <w:shd w:val="clear" w:color="auto" w:fill="BFBFBF" w:themeFill="background1" w:themeFillShade="B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b/>
                <w:color w:val="000000"/>
                <w:kern w:val="28"/>
                <w:lang w:val="en-GB"/>
                <w14:cntxtAlts/>
              </w:rPr>
            </w:pPr>
            <w:r w:rsidRPr="00915158">
              <w:rPr>
                <w:b/>
                <w:lang w:val="en-GB"/>
              </w:rPr>
              <w:t>Report</w:t>
            </w:r>
          </w:p>
        </w:tc>
      </w:tr>
      <w:tr w:rsidR="00FB346B" w:rsidRPr="00915158" w:rsidTr="00915158">
        <w:trPr>
          <w:trHeight w:val="567"/>
        </w:trPr>
        <w:tc>
          <w:tcPr>
            <w:tcW w:w="374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1 - 3 parasites per slide</w:t>
            </w:r>
          </w:p>
          <w:p w:rsidR="00915158" w:rsidRPr="00915158" w:rsidRDefault="00FB346B" w:rsidP="00FB346B">
            <w:pPr>
              <w:spacing w:after="0"/>
              <w:rPr>
                <w:lang w:val="en-GB"/>
              </w:rPr>
            </w:pPr>
            <w:r w:rsidRPr="00915158">
              <w:rPr>
                <w:lang w:val="en-GB"/>
              </w:rPr>
              <w:t>(check 2 coverslips)</w:t>
            </w:r>
          </w:p>
        </w:tc>
        <w:tc>
          <w:tcPr>
            <w:tcW w:w="2126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B346B" w:rsidRPr="00915158" w:rsidRDefault="00FB346B" w:rsidP="00915158">
            <w:pPr>
              <w:spacing w:after="0"/>
              <w:jc w:val="left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+</w:t>
            </w:r>
          </w:p>
        </w:tc>
      </w:tr>
      <w:tr w:rsidR="00FB346B" w:rsidRPr="00915158" w:rsidTr="00915158">
        <w:trPr>
          <w:trHeight w:val="567"/>
        </w:trPr>
        <w:tc>
          <w:tcPr>
            <w:tcW w:w="374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4 - 10 parasite per slide</w:t>
            </w:r>
          </w:p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(check 40 fields)</w:t>
            </w:r>
          </w:p>
        </w:tc>
        <w:tc>
          <w:tcPr>
            <w:tcW w:w="2126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B346B" w:rsidRPr="00915158" w:rsidRDefault="00FB346B" w:rsidP="00915158">
            <w:pPr>
              <w:spacing w:after="0"/>
              <w:jc w:val="left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++</w:t>
            </w:r>
          </w:p>
        </w:tc>
      </w:tr>
      <w:tr w:rsidR="00FB346B" w:rsidRPr="00915158" w:rsidTr="00915158">
        <w:trPr>
          <w:trHeight w:val="567"/>
        </w:trPr>
        <w:tc>
          <w:tcPr>
            <w:tcW w:w="374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1 - 2 parasites per field</w:t>
            </w:r>
          </w:p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(check 40 fields)</w:t>
            </w:r>
          </w:p>
        </w:tc>
        <w:tc>
          <w:tcPr>
            <w:tcW w:w="2126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B346B" w:rsidRPr="00915158" w:rsidRDefault="00FB346B" w:rsidP="00915158">
            <w:pPr>
              <w:spacing w:after="0"/>
              <w:jc w:val="left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+++</w:t>
            </w:r>
          </w:p>
        </w:tc>
      </w:tr>
      <w:tr w:rsidR="00FB346B" w:rsidRPr="00915158" w:rsidTr="00915158">
        <w:trPr>
          <w:trHeight w:val="567"/>
        </w:trPr>
        <w:tc>
          <w:tcPr>
            <w:tcW w:w="3744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&gt;3 parasites per field</w:t>
            </w:r>
          </w:p>
          <w:p w:rsidR="00FB346B" w:rsidRPr="00915158" w:rsidRDefault="00FB346B" w:rsidP="00FB346B">
            <w:pPr>
              <w:spacing w:after="0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(check 40 fields)</w:t>
            </w:r>
          </w:p>
        </w:tc>
        <w:tc>
          <w:tcPr>
            <w:tcW w:w="2126" w:type="dxa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B346B" w:rsidRPr="00915158" w:rsidRDefault="00FB346B" w:rsidP="00915158">
            <w:pPr>
              <w:spacing w:after="0"/>
              <w:jc w:val="left"/>
              <w:rPr>
                <w:color w:val="000000"/>
                <w:kern w:val="28"/>
                <w:lang w:val="en-GB"/>
                <w14:cntxtAlts/>
              </w:rPr>
            </w:pPr>
            <w:r w:rsidRPr="00915158">
              <w:rPr>
                <w:lang w:val="en-GB"/>
              </w:rPr>
              <w:t>++++</w:t>
            </w:r>
          </w:p>
        </w:tc>
      </w:tr>
    </w:tbl>
    <w:p w:rsidR="00BF4A7B" w:rsidRPr="00915158" w:rsidRDefault="00BF4A7B" w:rsidP="00BF4A7B">
      <w:pPr>
        <w:pStyle w:val="Heading2"/>
        <w:rPr>
          <w:lang w:val="en-GB"/>
        </w:rPr>
      </w:pPr>
      <w:r w:rsidRPr="00915158">
        <w:rPr>
          <w:lang w:val="en-GB"/>
        </w:rPr>
        <w:t>Reporting</w:t>
      </w:r>
    </w:p>
    <w:p w:rsidR="00BF4A7B" w:rsidRPr="00915158" w:rsidRDefault="00906307" w:rsidP="00BF4A7B">
      <w:pPr>
        <w:rPr>
          <w:lang w:val="en-GB"/>
        </w:rPr>
      </w:pPr>
      <w:r w:rsidRPr="00915158">
        <w:rPr>
          <w:lang w:val="en-GB"/>
        </w:rPr>
        <w:t xml:space="preserve">The presence and quantity of specific parasites or the absence of any parasite </w:t>
      </w:r>
      <w:r w:rsidRPr="00C95944">
        <w:rPr>
          <w:lang w:val="en-GB"/>
        </w:rPr>
        <w:t xml:space="preserve">(“No </w:t>
      </w:r>
      <w:r w:rsidR="00C95944" w:rsidRPr="00C95944">
        <w:rPr>
          <w:lang w:val="en-GB"/>
        </w:rPr>
        <w:t xml:space="preserve">parasites </w:t>
      </w:r>
      <w:r w:rsidR="00C95944">
        <w:rPr>
          <w:lang w:val="en-GB"/>
        </w:rPr>
        <w:t>seen</w:t>
      </w:r>
      <w:r w:rsidRPr="00915158">
        <w:rPr>
          <w:lang w:val="en-GB"/>
        </w:rPr>
        <w:t>”)</w:t>
      </w:r>
      <w:r w:rsidR="00D63435" w:rsidRPr="00915158">
        <w:rPr>
          <w:lang w:val="en-GB"/>
        </w:rPr>
        <w:t xml:space="preserve"> should be reported</w:t>
      </w:r>
      <w:r w:rsidRPr="00915158">
        <w:rPr>
          <w:lang w:val="en-GB"/>
        </w:rPr>
        <w:t>.</w:t>
      </w:r>
    </w:p>
    <w:p w:rsidR="00BF4A7B" w:rsidRPr="00915158" w:rsidRDefault="00BF4A7B" w:rsidP="00BF4A7B">
      <w:pPr>
        <w:pStyle w:val="Heading1"/>
        <w:rPr>
          <w:lang w:val="en-GB"/>
        </w:rPr>
      </w:pPr>
      <w:r w:rsidRPr="00915158">
        <w:rPr>
          <w:lang w:val="en-GB"/>
        </w:rPr>
        <w:t>Quality assurance</w:t>
      </w:r>
    </w:p>
    <w:p w:rsidR="00BF4A7B" w:rsidRPr="00915158" w:rsidRDefault="009D0D80" w:rsidP="00BF4A7B">
      <w:pPr>
        <w:rPr>
          <w:lang w:val="en-GB"/>
        </w:rPr>
      </w:pPr>
      <w:r w:rsidRPr="00915158">
        <w:rPr>
          <w:lang w:val="en-GB"/>
        </w:rPr>
        <w:t>Appropriate internal and external quality assurance schemes.</w:t>
      </w:r>
    </w:p>
    <w:p w:rsidR="00BF4A7B" w:rsidRPr="00915158" w:rsidRDefault="00BF4A7B" w:rsidP="00BF4A7B">
      <w:pPr>
        <w:pStyle w:val="Heading1"/>
        <w:rPr>
          <w:lang w:val="en-GB"/>
        </w:rPr>
      </w:pPr>
      <w:r w:rsidRPr="00915158">
        <w:rPr>
          <w:lang w:val="en-GB"/>
        </w:rPr>
        <w:t>Limitations</w:t>
      </w:r>
    </w:p>
    <w:p w:rsidR="00BF4A7B" w:rsidRPr="00915158" w:rsidRDefault="00CF334D" w:rsidP="00BF4A7B">
      <w:pPr>
        <w:rPr>
          <w:lang w:val="en-GB"/>
        </w:rPr>
      </w:pPr>
      <w:r w:rsidRPr="00915158">
        <w:rPr>
          <w:i/>
          <w:lang w:val="en-GB"/>
        </w:rPr>
        <w:t xml:space="preserve">Entamoeba histolytica </w:t>
      </w:r>
      <w:r w:rsidRPr="00915158">
        <w:rPr>
          <w:lang w:val="en-GB"/>
        </w:rPr>
        <w:t xml:space="preserve">cannot be distinguished from the non-pathogenic species </w:t>
      </w:r>
      <w:r w:rsidRPr="00915158">
        <w:rPr>
          <w:i/>
          <w:lang w:val="en-GB"/>
        </w:rPr>
        <w:t>Entamoeba dispar</w:t>
      </w:r>
      <w:r w:rsidRPr="00915158">
        <w:rPr>
          <w:lang w:val="en-GB"/>
        </w:rPr>
        <w:t xml:space="preserve"> by light microscopy.</w:t>
      </w:r>
    </w:p>
    <w:p w:rsidR="00BF4A7B" w:rsidRPr="00915158" w:rsidRDefault="00BF4A7B" w:rsidP="00BF4A7B">
      <w:pPr>
        <w:pStyle w:val="Heading1"/>
        <w:rPr>
          <w:lang w:val="en-GB"/>
        </w:rPr>
      </w:pPr>
      <w:r w:rsidRPr="00915158">
        <w:rPr>
          <w:lang w:val="en-GB"/>
        </w:rPr>
        <w:t>References</w:t>
      </w:r>
    </w:p>
    <w:p w:rsidR="00E1421D" w:rsidRDefault="00E1421D" w:rsidP="00E1421D">
      <w:pPr>
        <w:rPr>
          <w:lang w:val="en-GB"/>
        </w:rPr>
      </w:pPr>
      <w:r w:rsidRPr="00915158">
        <w:rPr>
          <w:lang w:val="en-GB"/>
        </w:rPr>
        <w:t>1. Health Protection Agency, UK SOP B30: Investigation of Faecal Specimens for Enteric Pathogens (Issue 8.0; March 2013).</w:t>
      </w:r>
    </w:p>
    <w:p w:rsidR="009756B5" w:rsidRDefault="009756B5" w:rsidP="009756B5">
      <w:r>
        <w:rPr>
          <w:lang w:val="en-GB"/>
        </w:rPr>
        <w:t xml:space="preserve">2. </w:t>
      </w:r>
      <w:r>
        <w:t>Ahmadi, NA, Damraj, FA. A field evaluation of formalin-</w:t>
      </w:r>
      <w:r>
        <w:rPr>
          <w:rStyle w:val="highlight"/>
        </w:rPr>
        <w:t>gasoline</w:t>
      </w:r>
      <w:r>
        <w:t xml:space="preserve"> technique in the concentration of stool for detection of intestinal </w:t>
      </w:r>
      <w:r>
        <w:rPr>
          <w:rStyle w:val="highlight"/>
        </w:rPr>
        <w:t>parasites</w:t>
      </w:r>
      <w:r>
        <w:t>. Parasitol Res.</w:t>
      </w:r>
      <w:r w:rsidRPr="009756B5">
        <w:t xml:space="preserve"> 2009 Feb;104(3):553-7</w:t>
      </w:r>
      <w:r>
        <w:t>.</w:t>
      </w:r>
    </w:p>
    <w:p w:rsidR="00E1421D" w:rsidRPr="00915158" w:rsidRDefault="009756B5" w:rsidP="00E1421D">
      <w:pPr>
        <w:rPr>
          <w:lang w:val="en-GB"/>
        </w:rPr>
      </w:pPr>
      <w:r>
        <w:rPr>
          <w:lang w:val="en-GB"/>
        </w:rPr>
        <w:t>3</w:t>
      </w:r>
      <w:r w:rsidR="00E1421D" w:rsidRPr="00915158">
        <w:rPr>
          <w:lang w:val="en-GB"/>
        </w:rPr>
        <w:t>. Cheesbrough, M. District Laboratory Practice in Tropical Countries, Part 2. 2</w:t>
      </w:r>
      <w:r w:rsidR="00E1421D" w:rsidRPr="00915158">
        <w:rPr>
          <w:vertAlign w:val="superscript"/>
          <w:lang w:val="en-GB"/>
        </w:rPr>
        <w:t>nd</w:t>
      </w:r>
      <w:r w:rsidR="00E1421D" w:rsidRPr="00915158">
        <w:rPr>
          <w:lang w:val="en-GB"/>
        </w:rPr>
        <w:t xml:space="preserve"> Edition Update (2006). Cambridge University Press.</w:t>
      </w:r>
    </w:p>
    <w:p w:rsidR="00E1421D" w:rsidRPr="00915158" w:rsidRDefault="009756B5" w:rsidP="00E1421D">
      <w:pPr>
        <w:rPr>
          <w:lang w:val="en-GB"/>
        </w:rPr>
      </w:pPr>
      <w:r>
        <w:rPr>
          <w:lang w:val="en-GB"/>
        </w:rPr>
        <w:t>4</w:t>
      </w:r>
      <w:r w:rsidR="00E1421D" w:rsidRPr="00915158">
        <w:rPr>
          <w:lang w:val="en-GB"/>
        </w:rPr>
        <w:t>. Standard Operating Procedures from SMRU and AHC.</w:t>
      </w:r>
    </w:p>
    <w:p w:rsidR="00CF334D" w:rsidRPr="00915158" w:rsidRDefault="00CF334D">
      <w:pPr>
        <w:spacing w:after="0" w:line="240" w:lineRule="auto"/>
        <w:jc w:val="left"/>
        <w:rPr>
          <w:rFonts w:ascii="Century Gothic" w:eastAsia="Times New Roman" w:hAnsi="Century Gothic"/>
          <w:b/>
          <w:lang w:val="en-GB"/>
        </w:rPr>
      </w:pPr>
      <w:r w:rsidRPr="00915158">
        <w:rPr>
          <w:lang w:val="en-GB"/>
        </w:rPr>
        <w:br w:type="page"/>
      </w:r>
    </w:p>
    <w:p w:rsidR="00BF4A7B" w:rsidRPr="00915158" w:rsidRDefault="00BF4A7B" w:rsidP="00BF4A7B">
      <w:pPr>
        <w:pStyle w:val="Heading1"/>
        <w:rPr>
          <w:lang w:val="en-GB"/>
        </w:rPr>
      </w:pPr>
      <w:r w:rsidRPr="00915158">
        <w:rPr>
          <w:lang w:val="en-GB"/>
        </w:rPr>
        <w:t>Synopsis / Bench aid</w:t>
      </w:r>
    </w:p>
    <w:p w:rsidR="005F0326" w:rsidRPr="00915158" w:rsidRDefault="005F0326" w:rsidP="005F0326">
      <w:pPr>
        <w:rPr>
          <w:lang w:val="en-GB"/>
        </w:rPr>
      </w:pPr>
    </w:p>
    <w:p w:rsidR="00BF4A7B" w:rsidRPr="00915158" w:rsidRDefault="005F0326" w:rsidP="005F0326">
      <w:pPr>
        <w:jc w:val="center"/>
        <w:rPr>
          <w:lang w:val="en-GB"/>
        </w:rPr>
        <w:sectPr w:rsidR="00BF4A7B" w:rsidRPr="00915158" w:rsidSect="006C64AF">
          <w:headerReference w:type="default" r:id="rId12"/>
          <w:pgSz w:w="12240" w:h="15840"/>
          <w:pgMar w:top="1440" w:right="1800" w:bottom="1440" w:left="1800" w:header="708" w:footer="708" w:gutter="0"/>
          <w:cols w:space="708"/>
          <w:docGrid w:linePitch="326"/>
        </w:sectPr>
      </w:pPr>
      <w:r w:rsidRPr="00915158">
        <w:rPr>
          <w:noProof/>
          <w:lang w:val="en-GB" w:eastAsia="en-GB"/>
        </w:rPr>
        <w:drawing>
          <wp:inline distT="0" distB="0" distL="0" distR="0" wp14:anchorId="2EE53BAB" wp14:editId="2B2ED2EF">
            <wp:extent cx="3352800" cy="431482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D9" w:rsidRPr="00915158" w:rsidRDefault="00BF4A7B" w:rsidP="009E0BD9">
      <w:pPr>
        <w:pStyle w:val="Heading1"/>
        <w:rPr>
          <w:lang w:val="en-GB"/>
        </w:rPr>
      </w:pPr>
      <w:r w:rsidRPr="00915158">
        <w:rPr>
          <w:lang w:val="en-GB"/>
        </w:rPr>
        <w:t>Risk assessment</w:t>
      </w:r>
    </w:p>
    <w:tbl>
      <w:tblPr>
        <w:tblW w:w="8790" w:type="dxa"/>
        <w:jc w:val="center"/>
        <w:tblInd w:w="254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11"/>
        <w:gridCol w:w="4679"/>
      </w:tblGrid>
      <w:tr w:rsidR="009E0BD9" w:rsidRPr="00915158" w:rsidTr="007A5E14">
        <w:trPr>
          <w:trHeight w:val="632"/>
          <w:jc w:val="center"/>
        </w:trPr>
        <w:tc>
          <w:tcPr>
            <w:tcW w:w="8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0BD9" w:rsidRPr="00915158" w:rsidRDefault="009E0BD9" w:rsidP="004C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color w:val="0D0D0D" w:themeColor="text1" w:themeTint="F2"/>
                <w:szCs w:val="24"/>
                <w:lang w:val="en-GB"/>
              </w:rPr>
            </w:pPr>
            <w:r w:rsidRPr="00915158">
              <w:rPr>
                <w:rFonts w:eastAsia="Times New Roman"/>
                <w:color w:val="0D0D0D" w:themeColor="text1" w:themeTint="F2"/>
                <w:szCs w:val="24"/>
                <w:lang w:val="en-GB"/>
              </w:rPr>
              <w:br w:type="page"/>
            </w:r>
            <w:r w:rsidRPr="00915158">
              <w:rPr>
                <w:rFonts w:ascii="Century Gothic" w:eastAsia="Times New Roman" w:hAnsi="Century Gothic"/>
                <w:b/>
                <w:color w:val="0D0D0D" w:themeColor="text1" w:themeTint="F2"/>
                <w:szCs w:val="24"/>
                <w:lang w:val="en-GB"/>
              </w:rPr>
              <w:t>COSHH risk assessment - University of Oxford COSHH Assessment Form</w:t>
            </w:r>
          </w:p>
        </w:tc>
      </w:tr>
      <w:tr w:rsidR="009E0BD9" w:rsidRPr="00915158" w:rsidTr="007A5E14">
        <w:trPr>
          <w:trHeight w:val="524"/>
          <w:jc w:val="center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Description of procedure</w:t>
            </w:r>
          </w:p>
          <w:p w:rsidR="009E0BD9" w:rsidRPr="00915158" w:rsidRDefault="00CF334D" w:rsidP="004C4C4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Microscopic examination of faecal specimens to identify parasitic infection</w:t>
            </w:r>
          </w:p>
        </w:tc>
        <w:tc>
          <w:tcPr>
            <w:tcW w:w="467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Substances used</w:t>
            </w:r>
          </w:p>
          <w:p w:rsidR="009E0BD9" w:rsidRPr="00915158" w:rsidRDefault="00CF334D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Lugol’s iodine</w:t>
            </w:r>
          </w:p>
          <w:p w:rsidR="00791C76" w:rsidRPr="00915158" w:rsidRDefault="00791C76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10% formol saline</w:t>
            </w:r>
          </w:p>
          <w:p w:rsidR="00CF334D" w:rsidRPr="00915158" w:rsidRDefault="00CF334D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Petrol</w:t>
            </w:r>
          </w:p>
          <w:p w:rsidR="00CF334D" w:rsidRPr="00915158" w:rsidRDefault="00CF334D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ZN stain reagents (Carbol-Fuchsin, Acid-alcohol, Methylene blue)</w:t>
            </w:r>
          </w:p>
        </w:tc>
      </w:tr>
      <w:tr w:rsidR="009E0BD9" w:rsidRPr="00915158" w:rsidTr="007A5E14">
        <w:trPr>
          <w:trHeight w:val="350"/>
          <w:jc w:val="center"/>
        </w:trPr>
        <w:tc>
          <w:tcPr>
            <w:tcW w:w="4111" w:type="dxa"/>
            <w:tcBorders>
              <w:top w:val="single" w:sz="6" w:space="0" w:color="auto"/>
              <w:lef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Quantities of chemicals used</w:t>
            </w:r>
          </w:p>
          <w:p w:rsidR="009E0BD9" w:rsidRPr="00915158" w:rsidRDefault="00CF334D" w:rsidP="004C4C4B">
            <w:pPr>
              <w:spacing w:after="0" w:line="240" w:lineRule="auto"/>
              <w:jc w:val="left"/>
              <w:rPr>
                <w:rFonts w:eastAsia="Times New Roman"/>
                <w:color w:val="0D0D0D" w:themeColor="text1" w:themeTint="F2"/>
                <w:szCs w:val="24"/>
                <w:lang w:val="en-GB"/>
              </w:rPr>
            </w:pPr>
            <w:r w:rsidRPr="00915158">
              <w:rPr>
                <w:rFonts w:eastAsia="Times New Roman"/>
                <w:color w:val="0D0D0D" w:themeColor="text1" w:themeTint="F2"/>
                <w:szCs w:val="24"/>
                <w:lang w:val="en-GB"/>
              </w:rPr>
              <w:t>Small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Frequency of SOP use</w:t>
            </w:r>
          </w:p>
          <w:p w:rsidR="009E0BD9" w:rsidRPr="00915158" w:rsidRDefault="009E0BD9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Daily</w:t>
            </w:r>
          </w:p>
        </w:tc>
      </w:tr>
      <w:tr w:rsidR="009E0BD9" w:rsidRPr="00915158" w:rsidTr="007A5E14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Hazards identified</w:t>
            </w:r>
          </w:p>
          <w:p w:rsidR="009E0BD9" w:rsidRPr="00915158" w:rsidRDefault="00CF334D" w:rsidP="004C4C4B">
            <w:pPr>
              <w:spacing w:after="0" w:line="240" w:lineRule="auto"/>
              <w:jc w:val="left"/>
              <w:rPr>
                <w:rFonts w:eastAsia="Times New Roman"/>
                <w:szCs w:val="24"/>
                <w:lang w:val="en-GB" w:bidi="x-none"/>
              </w:rPr>
            </w:pPr>
            <w:r w:rsidRPr="00915158">
              <w:rPr>
                <w:rFonts w:eastAsia="Times New Roman"/>
                <w:szCs w:val="24"/>
                <w:lang w:val="en-GB" w:bidi="x-none"/>
              </w:rPr>
              <w:t>1</w:t>
            </w:r>
            <w:r w:rsidR="004C4C4B" w:rsidRPr="00915158">
              <w:rPr>
                <w:rFonts w:eastAsia="Times New Roman"/>
                <w:szCs w:val="24"/>
                <w:lang w:val="en-GB" w:bidi="x-none"/>
              </w:rPr>
              <w:t xml:space="preserve">. </w:t>
            </w:r>
            <w:r w:rsidR="009E0BD9" w:rsidRPr="00915158">
              <w:rPr>
                <w:rFonts w:eastAsia="Times New Roman"/>
                <w:szCs w:val="24"/>
                <w:lang w:val="en-GB" w:bidi="x-none"/>
              </w:rPr>
              <w:t xml:space="preserve">Potentially infectious material in sample  </w:t>
            </w:r>
          </w:p>
          <w:p w:rsidR="00CF334D" w:rsidRPr="00915158" w:rsidRDefault="00CF334D" w:rsidP="004C4C4B">
            <w:pPr>
              <w:spacing w:after="0" w:line="240" w:lineRule="auto"/>
              <w:jc w:val="left"/>
              <w:rPr>
                <w:rFonts w:eastAsia="Times New Roman"/>
                <w:szCs w:val="24"/>
                <w:lang w:val="en-GB" w:bidi="x-none"/>
              </w:rPr>
            </w:pPr>
            <w:r w:rsidRPr="00915158">
              <w:rPr>
                <w:rFonts w:eastAsia="Times New Roman"/>
                <w:szCs w:val="24"/>
                <w:lang w:val="en-GB" w:bidi="x-none"/>
              </w:rPr>
              <w:t>2. Petrol: fire hazard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Could a less hazardous substance be used instead?</w:t>
            </w:r>
            <w:r w:rsidRPr="00915158">
              <w:rPr>
                <w:rFonts w:ascii="Century Gothic" w:hAnsi="Century Gothic"/>
                <w:szCs w:val="24"/>
                <w:lang w:val="en-GB" w:bidi="x-none"/>
              </w:rPr>
              <w:t xml:space="preserve">    </w:t>
            </w:r>
          </w:p>
          <w:p w:rsidR="009E0BD9" w:rsidRPr="00915158" w:rsidRDefault="009E0BD9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No</w:t>
            </w:r>
          </w:p>
        </w:tc>
      </w:tr>
      <w:tr w:rsidR="009E0BD9" w:rsidRPr="00915158" w:rsidTr="007A5E14">
        <w:trPr>
          <w:jc w:val="center"/>
        </w:trPr>
        <w:tc>
          <w:tcPr>
            <w:tcW w:w="8790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 xml:space="preserve">What measures have you taken to control risk? </w:t>
            </w:r>
          </w:p>
          <w:p w:rsidR="009E0BD9" w:rsidRPr="00915158" w:rsidRDefault="004C4C4B" w:rsidP="004C4C4B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 xml:space="preserve">1. </w:t>
            </w:r>
            <w:r w:rsidR="009E0BD9"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Training in good laboratory practices (GLP)</w:t>
            </w:r>
          </w:p>
          <w:p w:rsidR="009E0BD9" w:rsidRPr="00915158" w:rsidRDefault="004C4C4B" w:rsidP="00CF334D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 xml:space="preserve">2. </w:t>
            </w:r>
            <w:r w:rsidR="009E0BD9"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Appropriate PPE (lab coat, gloves, eye protection)</w:t>
            </w:r>
          </w:p>
          <w:p w:rsidR="00791C76" w:rsidRPr="00915158" w:rsidRDefault="00791C76" w:rsidP="00CF334D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3. Handling of specimens / preparation of slides in the Class II biosafety cabinet</w:t>
            </w:r>
          </w:p>
          <w:p w:rsidR="00CF334D" w:rsidRPr="00915158" w:rsidRDefault="00CF334D" w:rsidP="00CF334D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3. No naked flames in the laboratory when performing faecal concentration using petrol</w:t>
            </w:r>
          </w:p>
        </w:tc>
      </w:tr>
      <w:tr w:rsidR="009E0BD9" w:rsidRPr="00915158" w:rsidTr="007A5E14">
        <w:trPr>
          <w:jc w:val="center"/>
        </w:trPr>
        <w:tc>
          <w:tcPr>
            <w:tcW w:w="8790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Checks on control measures</w:t>
            </w:r>
          </w:p>
          <w:p w:rsidR="009E0BD9" w:rsidRPr="00915158" w:rsidRDefault="009E0BD9" w:rsidP="004C4C4B">
            <w:pPr>
              <w:spacing w:after="0" w:line="240" w:lineRule="auto"/>
              <w:jc w:val="left"/>
              <w:rPr>
                <w:b/>
                <w:bCs/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Observation and supervision by senior staff</w:t>
            </w:r>
          </w:p>
        </w:tc>
      </w:tr>
      <w:tr w:rsidR="009E0BD9" w:rsidRPr="00915158" w:rsidTr="007A5E14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Is health surveillance required?</w:t>
            </w:r>
          </w:p>
          <w:p w:rsidR="009E0BD9" w:rsidRPr="00915158" w:rsidRDefault="009E0BD9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No</w:t>
            </w:r>
          </w:p>
        </w:tc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b/>
                <w:bCs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Training requirements:</w:t>
            </w:r>
          </w:p>
          <w:p w:rsidR="009E0BD9" w:rsidRPr="00915158" w:rsidRDefault="009E0BD9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GLP</w:t>
            </w:r>
          </w:p>
        </w:tc>
      </w:tr>
      <w:tr w:rsidR="009E0BD9" w:rsidRPr="00915158" w:rsidTr="007A5E14">
        <w:trPr>
          <w:jc w:val="center"/>
        </w:trPr>
        <w:tc>
          <w:tcPr>
            <w:tcW w:w="411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Emergency procedures</w:t>
            </w:r>
            <w:r w:rsidRPr="00915158">
              <w:rPr>
                <w:rFonts w:ascii="Century Gothic" w:hAnsi="Century Gothic"/>
                <w:szCs w:val="24"/>
                <w:lang w:val="en-GB" w:bidi="x-none"/>
              </w:rPr>
              <w:t>:</w:t>
            </w:r>
          </w:p>
          <w:p w:rsidR="009E0BD9" w:rsidRPr="00915158" w:rsidRDefault="004C4C4B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 xml:space="preserve">1. </w:t>
            </w:r>
            <w:r w:rsidR="009E0BD9" w:rsidRPr="00915158">
              <w:rPr>
                <w:szCs w:val="24"/>
                <w:lang w:val="en-GB" w:bidi="x-none"/>
              </w:rPr>
              <w:t>Report all incidents to Safety Adviser</w:t>
            </w:r>
          </w:p>
          <w:p w:rsidR="009E0BD9" w:rsidRPr="00915158" w:rsidRDefault="004C4C4B" w:rsidP="004C4C4B">
            <w:pPr>
              <w:spacing w:after="0" w:line="240" w:lineRule="auto"/>
              <w:jc w:val="left"/>
              <w:rPr>
                <w:szCs w:val="24"/>
                <w:lang w:val="en-GB" w:bidi="x-none"/>
              </w:rPr>
            </w:pPr>
            <w:r w:rsidRPr="00915158">
              <w:rPr>
                <w:szCs w:val="24"/>
                <w:lang w:val="en-GB" w:bidi="x-none"/>
              </w:rPr>
              <w:t>2. Use eye</w:t>
            </w:r>
            <w:r w:rsidR="009E0BD9" w:rsidRPr="00915158">
              <w:rPr>
                <w:szCs w:val="24"/>
                <w:lang w:val="en-GB" w:bidi="x-none"/>
              </w:rPr>
              <w:t>wash for splashes</w:t>
            </w:r>
          </w:p>
          <w:p w:rsidR="009E0BD9" w:rsidRPr="00915158" w:rsidRDefault="004C4C4B" w:rsidP="004C4C4B">
            <w:pPr>
              <w:spacing w:after="0" w:line="240" w:lineRule="auto"/>
              <w:jc w:val="left"/>
              <w:rPr>
                <w:rFonts w:eastAsia="Times New Roman"/>
                <w:color w:val="0D0D0D" w:themeColor="text1" w:themeTint="F2"/>
                <w:szCs w:val="24"/>
                <w:lang w:val="en-GB"/>
              </w:rPr>
            </w:pPr>
            <w:r w:rsidRPr="00915158">
              <w:rPr>
                <w:szCs w:val="24"/>
                <w:lang w:val="en-GB"/>
              </w:rPr>
              <w:t xml:space="preserve">3. </w:t>
            </w:r>
            <w:r w:rsidR="009E0BD9" w:rsidRPr="00915158">
              <w:rPr>
                <w:szCs w:val="24"/>
                <w:lang w:val="en-GB"/>
              </w:rPr>
              <w:t xml:space="preserve">Clean up </w:t>
            </w:r>
            <w:r w:rsidRPr="00915158">
              <w:rPr>
                <w:szCs w:val="24"/>
                <w:lang w:val="en-GB"/>
              </w:rPr>
              <w:t xml:space="preserve">spills </w:t>
            </w:r>
            <w:r w:rsidR="009E0BD9" w:rsidRPr="00915158">
              <w:rPr>
                <w:szCs w:val="24"/>
                <w:lang w:val="en-GB"/>
              </w:rPr>
              <w:t>using 1% Virkon</w:t>
            </w:r>
            <w:r w:rsidRPr="00915158">
              <w:rPr>
                <w:szCs w:val="24"/>
                <w:lang w:val="en-GB"/>
              </w:rPr>
              <w:t xml:space="preserve"> or chemical spill kit</w:t>
            </w:r>
          </w:p>
        </w:tc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9E0BD9" w:rsidRPr="00915158" w:rsidRDefault="009E0BD9" w:rsidP="004C4C4B">
            <w:pPr>
              <w:spacing w:after="0" w:line="240" w:lineRule="auto"/>
              <w:jc w:val="left"/>
              <w:rPr>
                <w:rFonts w:ascii="Century Gothic" w:hAnsi="Century Gothic"/>
                <w:szCs w:val="24"/>
                <w:lang w:val="en-GB" w:bidi="x-none"/>
              </w:rPr>
            </w:pPr>
            <w:r w:rsidRPr="00915158">
              <w:rPr>
                <w:rFonts w:ascii="Century Gothic" w:hAnsi="Century Gothic"/>
                <w:b/>
                <w:bCs/>
                <w:szCs w:val="24"/>
                <w:lang w:val="en-GB" w:bidi="x-none"/>
              </w:rPr>
              <w:t>Waste disposal procedures</w:t>
            </w:r>
            <w:r w:rsidRPr="00915158">
              <w:rPr>
                <w:rFonts w:ascii="Century Gothic" w:hAnsi="Century Gothic"/>
                <w:szCs w:val="24"/>
                <w:lang w:val="en-GB" w:bidi="x-none"/>
              </w:rPr>
              <w:t>:</w:t>
            </w:r>
          </w:p>
          <w:p w:rsidR="009E0BD9" w:rsidRPr="00915158" w:rsidRDefault="004C4C4B" w:rsidP="004C4C4B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 xml:space="preserve">1. </w:t>
            </w:r>
            <w:r w:rsidR="009E0BD9"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Sharps discarded into appropriate ri</w:t>
            </w: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gid containers for incineration</w:t>
            </w:r>
          </w:p>
          <w:p w:rsidR="009E0BD9" w:rsidRPr="00915158" w:rsidRDefault="004C4C4B" w:rsidP="004C4C4B">
            <w:pPr>
              <w:tabs>
                <w:tab w:val="left" w:pos="426"/>
                <w:tab w:val="left" w:pos="709"/>
                <w:tab w:val="left" w:pos="993"/>
              </w:tabs>
              <w:spacing w:after="0" w:line="240" w:lineRule="auto"/>
              <w:jc w:val="left"/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 xml:space="preserve">2. </w:t>
            </w:r>
            <w:r w:rsidR="009E0BD9"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Infectious waste discarded into autoclave bags or 1% Virkon solution prior to autoclav</w:t>
            </w: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ing and subsequent incineration</w:t>
            </w:r>
          </w:p>
          <w:p w:rsidR="009E0BD9" w:rsidRPr="00915158" w:rsidRDefault="004C4C4B" w:rsidP="004C4C4B">
            <w:pPr>
              <w:spacing w:after="0" w:line="240" w:lineRule="auto"/>
              <w:jc w:val="left"/>
              <w:rPr>
                <w:sz w:val="40"/>
                <w:szCs w:val="24"/>
                <w:lang w:val="en-GB" w:bidi="x-none"/>
              </w:rPr>
            </w:pPr>
            <w:r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 xml:space="preserve">3. </w:t>
            </w:r>
            <w:r w:rsidR="009E0BD9" w:rsidRPr="00915158">
              <w:rPr>
                <w:rFonts w:eastAsia="Times New Roman" w:cs="Helvetica"/>
                <w:color w:val="0D0D0D" w:themeColor="text1" w:themeTint="F2"/>
                <w:szCs w:val="16"/>
                <w:lang w:val="en-GB"/>
              </w:rPr>
              <w:t>Chemical waste disposed of according to manufacturer’s instructions</w:t>
            </w:r>
          </w:p>
        </w:tc>
      </w:tr>
    </w:tbl>
    <w:p w:rsidR="00096E23" w:rsidRPr="00915158" w:rsidRDefault="00096E23" w:rsidP="00BF4A7B">
      <w:pPr>
        <w:rPr>
          <w:lang w:val="en-GB"/>
        </w:rPr>
      </w:pPr>
    </w:p>
    <w:p w:rsidR="00096E23" w:rsidRPr="00915158" w:rsidRDefault="00096E23" w:rsidP="00096E23">
      <w:pPr>
        <w:rPr>
          <w:lang w:val="en-GB"/>
        </w:rPr>
      </w:pPr>
      <w:r w:rsidRPr="00915158">
        <w:rPr>
          <w:lang w:val="en-GB"/>
        </w:rPr>
        <w:br w:type="page"/>
      </w:r>
    </w:p>
    <w:p w:rsidR="00BF4A7B" w:rsidRPr="00915158" w:rsidRDefault="00096E23" w:rsidP="00096E23">
      <w:pPr>
        <w:pStyle w:val="Heading1"/>
        <w:rPr>
          <w:lang w:val="en-GB"/>
        </w:rPr>
      </w:pPr>
      <w:r w:rsidRPr="00915158">
        <w:rPr>
          <w:lang w:val="en-GB"/>
        </w:rPr>
        <w:t>Appendix 1. Identification of faecal parasites</w:t>
      </w:r>
    </w:p>
    <w:p w:rsidR="00096E23" w:rsidRPr="00915158" w:rsidRDefault="00096E23" w:rsidP="00096E23">
      <w:pPr>
        <w:rPr>
          <w:lang w:val="en-GB"/>
        </w:rPr>
      </w:pPr>
      <w:r w:rsidRPr="00915158">
        <w:rPr>
          <w:lang w:val="en-GB"/>
        </w:rPr>
        <w:t>(From HPA SOP B31)</w:t>
      </w:r>
    </w:p>
    <w:p w:rsidR="00096E23" w:rsidRPr="00915158" w:rsidRDefault="00E61A32" w:rsidP="00096E23">
      <w:pPr>
        <w:rPr>
          <w:b/>
          <w:lang w:val="en-GB"/>
        </w:rPr>
      </w:pPr>
      <w:r w:rsidRPr="00915158">
        <w:rPr>
          <w:b/>
          <w:lang w:val="en-GB"/>
        </w:rPr>
        <w:t>Common microscopic constituents of faeces</w:t>
      </w:r>
    </w:p>
    <w:p w:rsidR="00E61A32" w:rsidRPr="00915158" w:rsidRDefault="00E61A32" w:rsidP="00096E23">
      <w:pPr>
        <w:rPr>
          <w:b/>
          <w:lang w:val="en-GB"/>
        </w:rPr>
      </w:pPr>
      <w:r w:rsidRPr="00915158">
        <w:rPr>
          <w:noProof/>
          <w:lang w:val="en-GB" w:eastAsia="en-GB"/>
        </w:rPr>
        <w:drawing>
          <wp:inline distT="0" distB="0" distL="0" distR="0" wp14:anchorId="3E5EDD10" wp14:editId="5853782B">
            <wp:extent cx="4283633" cy="6120000"/>
            <wp:effectExtent l="57150" t="57150" r="117475" b="109855"/>
            <wp:docPr id="29" name="Picture 29" descr="Appendix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endix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33" cy="61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1A32" w:rsidRPr="00915158" w:rsidRDefault="00E61A32">
      <w:pPr>
        <w:spacing w:after="0" w:line="240" w:lineRule="auto"/>
        <w:jc w:val="left"/>
        <w:rPr>
          <w:b/>
          <w:lang w:val="en-GB"/>
        </w:rPr>
      </w:pPr>
      <w:r w:rsidRPr="00915158">
        <w:rPr>
          <w:b/>
          <w:lang w:val="en-GB"/>
        </w:rPr>
        <w:br w:type="page"/>
      </w:r>
    </w:p>
    <w:p w:rsidR="00096E23" w:rsidRPr="00915158" w:rsidRDefault="00E61A32" w:rsidP="00096E23">
      <w:pPr>
        <w:rPr>
          <w:b/>
          <w:lang w:val="en-GB"/>
        </w:rPr>
      </w:pPr>
      <w:r w:rsidRPr="00915158">
        <w:rPr>
          <w:b/>
          <w:lang w:val="en-GB"/>
        </w:rPr>
        <w:t>Relative sizes of helminth eggs</w:t>
      </w:r>
    </w:p>
    <w:p w:rsidR="00E61A32" w:rsidRPr="00915158" w:rsidRDefault="00E61A32" w:rsidP="00096E23">
      <w:pPr>
        <w:rPr>
          <w:b/>
          <w:lang w:val="en-GB"/>
        </w:rPr>
      </w:pPr>
      <w:r w:rsidRPr="00915158">
        <w:rPr>
          <w:noProof/>
          <w:lang w:val="en-GB" w:eastAsia="en-GB"/>
        </w:rPr>
        <w:drawing>
          <wp:inline distT="0" distB="0" distL="0" distR="0" wp14:anchorId="1535DCCB" wp14:editId="4E64230C">
            <wp:extent cx="4068283" cy="7128000"/>
            <wp:effectExtent l="19050" t="19050" r="27940" b="158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83" cy="71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499C" w:rsidRPr="00915158" w:rsidRDefault="00E4499C" w:rsidP="00096E23">
      <w:pPr>
        <w:rPr>
          <w:b/>
          <w:lang w:val="en-GB"/>
        </w:rPr>
      </w:pPr>
      <w:r w:rsidRPr="00915158">
        <w:rPr>
          <w:b/>
          <w:lang w:val="en-GB"/>
        </w:rPr>
        <w:t>Oocysts of coccidian</w:t>
      </w:r>
    </w:p>
    <w:p w:rsidR="00421AF2" w:rsidRPr="00915158" w:rsidRDefault="00421AF2" w:rsidP="00E61A32">
      <w:pPr>
        <w:spacing w:after="0"/>
        <w:rPr>
          <w:lang w:val="en-GB"/>
        </w:rPr>
      </w:pPr>
      <w:r w:rsidRPr="0091515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17240" wp14:editId="36A8FADC">
                <wp:simplePos x="0" y="0"/>
                <wp:positionH relativeFrom="column">
                  <wp:posOffset>-9525</wp:posOffset>
                </wp:positionH>
                <wp:positionV relativeFrom="paragraph">
                  <wp:posOffset>120650</wp:posOffset>
                </wp:positionV>
                <wp:extent cx="4917440" cy="6534784"/>
                <wp:effectExtent l="0" t="0" r="1651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6534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F2" w:rsidRPr="00D45858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rPr>
                                <w:b/>
                                <w:i/>
                              </w:rPr>
                              <w:t>Cystoisospora</w:t>
                            </w:r>
                            <w:r w:rsidRPr="00425B12">
                              <w:rPr>
                                <w:b/>
                                <w:i/>
                              </w:rPr>
                              <w:t xml:space="preserve"> belli</w:t>
                            </w:r>
                            <w:r>
                              <w:rPr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</w:rPr>
                              <w:instrText xml:space="preserve"> ADDIN REFMGR.CITE &lt;Refman&gt;&lt;Cite&gt;&lt;Year&gt;1991&lt;/Year&gt;&lt;RecNum&gt;20&lt;/RecNum&gt;&lt;IDText&gt;Basic laboratory methods in medical parasitology&lt;/IDText&gt;&lt;MDL Ref_Type="Book, Whole"&gt;&lt;Ref_Type&gt;Book, Whole&lt;/Ref_Type&gt;&lt;Ref_ID&gt;20&lt;/Ref_ID&gt;&lt;Title_Primary&gt;Basic laboratory methods in medical parasitology&lt;/Title_Primary&gt;&lt;Date_Primary&gt;1991&lt;/Date_Primary&gt;&lt;Keywords&gt;B 31&lt;/Keywords&gt;&lt;Keywords&gt;Laboratories&lt;/Keywords&gt;&lt;Keywords&gt;methods&lt;/Keywords&gt;&lt;Keywords&gt;parasitology&lt;/Keywords&gt;&lt;Reprint&gt;Not in File&lt;/Reprint&gt;&lt;Start_Page&gt;77&lt;/Start_Page&gt;&lt;End_Page&gt;78&lt;/End_Page&gt;&lt;Pub_Place&gt;Geneva&lt;/Pub_Place&gt;&lt;Publisher&gt;World Health Organization&lt;/Publisher&gt;&lt;ZZ_WorkformID&gt;2&lt;/ZZ_WorkformID&gt;&lt;/MDL&gt;&lt;/Cite&gt;&lt;/Refman&gt;</w:instrText>
                            </w:r>
                            <w:r>
                              <w:rPr>
                                <w:i/>
                              </w:rPr>
                              <w:fldChar w:fldCharType="separate"/>
                            </w:r>
                            <w:r w:rsidRPr="00EC0CA3">
                              <w:rPr>
                                <w:i/>
                                <w:noProof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i/>
                              </w:rPr>
                              <w:fldChar w:fldCharType="end"/>
                            </w:r>
                          </w:p>
                          <w:p w:rsidR="00421AF2" w:rsidRDefault="00421AF2" w:rsidP="00791C76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F8218B" wp14:editId="732BA410">
                                  <wp:extent cx="3265805" cy="653415"/>
                                  <wp:effectExtent l="0" t="0" r="0" b="0"/>
                                  <wp:docPr id="6" name="Picture 6" descr="Appendix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ppendix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F2" w:rsidRPr="006D46AB" w:rsidRDefault="00791C76" w:rsidP="00791C76">
                            <w:pPr>
                              <w:pStyle w:val="HPAbodytextTable"/>
                              <w:tabs>
                                <w:tab w:val="left" w:pos="1348"/>
                                <w:tab w:val="left" w:pos="3119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rPr>
                                <w:lang w:val="fr-FR"/>
                              </w:rPr>
                            </w:pPr>
                            <w:r w:rsidRPr="006D46AB">
                              <w:rPr>
                                <w:lang w:val="fr-FR"/>
                              </w:rPr>
                              <w:t xml:space="preserve">Immature oocyst </w:t>
                            </w:r>
                            <w:r w:rsidR="00421AF2" w:rsidRPr="006D46AB">
                              <w:rPr>
                                <w:lang w:val="fr-FR"/>
                              </w:rPr>
                              <w:t>(32 x 16µ</w:t>
                            </w:r>
                            <w:r w:rsidRPr="006D46AB">
                              <w:rPr>
                                <w:lang w:val="fr-FR"/>
                              </w:rPr>
                              <w:t>m)</w:t>
                            </w:r>
                            <w:r w:rsidRPr="006D46AB">
                              <w:rPr>
                                <w:lang w:val="fr-FR"/>
                              </w:rPr>
                              <w:tab/>
                            </w:r>
                            <w:r w:rsidR="00421AF2" w:rsidRPr="006D46AB">
                              <w:rPr>
                                <w:lang w:val="fr-FR"/>
                              </w:rPr>
                              <w:t>Mature oocyst</w:t>
                            </w:r>
                          </w:p>
                          <w:p w:rsidR="00421AF2" w:rsidRPr="00D45858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D45858">
                              <w:t>Oocysts are transparent.  Reduced illumination is recommended. Modified Ziehl-Neelsen can be used for direct smears</w:t>
                            </w:r>
                          </w:p>
                          <w:p w:rsidR="00421AF2" w:rsidRPr="00791C76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rPr>
                                <w:b/>
                                <w:i/>
                              </w:rPr>
                            </w:pPr>
                            <w:r w:rsidRPr="00791C76">
                              <w:rPr>
                                <w:b/>
                                <w:i/>
                              </w:rPr>
                              <w:t xml:space="preserve">Cryptosporidium </w:t>
                            </w:r>
                            <w:r w:rsidRPr="00791C76">
                              <w:rPr>
                                <w:b/>
                              </w:rPr>
                              <w:t>species</w:t>
                            </w:r>
                          </w:p>
                          <w:p w:rsidR="00421AF2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20075" wp14:editId="3B187214">
                                  <wp:extent cx="866775" cy="462915"/>
                                  <wp:effectExtent l="0" t="0" r="9525" b="0"/>
                                  <wp:docPr id="5" name="Picture 5" descr="Appendix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ppendix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F2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t xml:space="preserve">            5µ</w:t>
                            </w:r>
                            <w:r w:rsidRPr="00AD0BA5">
                              <w:t>m</w:t>
                            </w:r>
                          </w:p>
                          <w:p w:rsidR="00421AF2" w:rsidRPr="00D45858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D45858">
                              <w:t xml:space="preserve">Auramine-phenol and modified </w:t>
                            </w:r>
                            <w:r w:rsidR="00C34CBB" w:rsidRPr="00D45858">
                              <w:t>Ziehl-Neelson</w:t>
                            </w:r>
                            <w:r w:rsidRPr="00D45858">
                              <w:t xml:space="preserve"> stains are recommended</w:t>
                            </w:r>
                          </w:p>
                          <w:p w:rsidR="00421AF2" w:rsidRPr="00D45858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D45858">
                              <w:rPr>
                                <w:i/>
                              </w:rPr>
                              <w:t xml:space="preserve">Cyclospora </w:t>
                            </w:r>
                            <w:r w:rsidR="00C34CBB">
                              <w:t xml:space="preserve">species </w:t>
                            </w:r>
                            <w:r w:rsidRPr="00D45858">
                              <w:t>(CLB)</w:t>
                            </w:r>
                          </w:p>
                          <w:p w:rsidR="00421AF2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t xml:space="preserve">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D408F" wp14:editId="4A0278E1">
                                  <wp:extent cx="1769110" cy="724535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11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8 – 10 µ</w:t>
                            </w:r>
                            <w:r w:rsidRPr="00AD0BA5">
                              <w:t>m</w:t>
                            </w:r>
                          </w:p>
                          <w:p w:rsidR="00421AF2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t xml:space="preserve"> </w:t>
                            </w:r>
                            <w:r w:rsidR="00E4499C">
                              <w:tab/>
                            </w:r>
                            <w:r w:rsidR="00E4499C">
                              <w:tab/>
                            </w:r>
                            <w:r w:rsidR="00C34CBB" w:rsidRPr="00AD0BA5">
                              <w:t>Unsporulated</w:t>
                            </w:r>
                            <w:r w:rsidRPr="00AD0BA5">
                              <w:tab/>
                            </w:r>
                            <w:r w:rsidRPr="00AD0BA5">
                              <w:tab/>
                            </w:r>
                            <w:r w:rsidR="00C34CBB">
                              <w:t>S</w:t>
                            </w:r>
                            <w:r w:rsidRPr="00AD0BA5">
                              <w:t>porulated</w:t>
                            </w:r>
                          </w:p>
                          <w:p w:rsidR="00421AF2" w:rsidRPr="00D45858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D45858">
                              <w:t xml:space="preserve">In an unstained wet preparation, a central morula contains several refractile spheres. In fresh water, the morula divides into 2 smaller structures. </w:t>
                            </w:r>
                            <w:r w:rsidRPr="005F68F7">
                              <w:rPr>
                                <w:i/>
                              </w:rPr>
                              <w:t>Cyclospora cayetanesis</w:t>
                            </w:r>
                            <w:r w:rsidRPr="00D45858">
                              <w:t xml:space="preserve"> can be seen in </w:t>
                            </w:r>
                            <w:r>
                              <w:t>formol</w:t>
                            </w:r>
                            <w:r w:rsidRPr="00D45858">
                              <w:t>-ether concentrations as refractile spheres which do not stain with iodine but are variably acid-fast, staining pink or not at all with modified Ziehl-Neelsen stain. Will not stain with auramine-phenol stain. Will auto-fluoresce blue at 340 – 360 nm</w:t>
                            </w:r>
                          </w:p>
                          <w:p w:rsidR="00421AF2" w:rsidRPr="00791C76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rPr>
                                <w:b/>
                              </w:rPr>
                            </w:pPr>
                            <w:r w:rsidRPr="00791C76">
                              <w:rPr>
                                <w:b/>
                              </w:rPr>
                              <w:t>Microsporidia</w:t>
                            </w:r>
                            <w:r w:rsidRPr="00791C76">
                              <w:rPr>
                                <w:b/>
                              </w:rPr>
                              <w:tab/>
                            </w:r>
                          </w:p>
                          <w:p w:rsidR="00421AF2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41BCA" wp14:editId="590AFC3B">
                                  <wp:extent cx="688975" cy="735965"/>
                                  <wp:effectExtent l="0" t="0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7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1-2 µ</w:t>
                            </w:r>
                            <w:r w:rsidRPr="00EC1E01">
                              <w:t>m</w:t>
                            </w:r>
                          </w:p>
                          <w:p w:rsidR="00421AF2" w:rsidRPr="00AD0BA5" w:rsidRDefault="00421AF2" w:rsidP="00791C76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EC1E01">
                              <w:t xml:space="preserve">Although microsporidia may appear acid-fast when stained with modified </w:t>
                            </w:r>
                            <w:r w:rsidR="00C34CBB" w:rsidRPr="00EC1E01">
                              <w:t>Ziehl-Neelson</w:t>
                            </w:r>
                            <w:r w:rsidRPr="00EC1E01">
                              <w:t>, the trichrome stain is recommended. Microsporidial spores are ovoid and refractile and the spore wall stains bright pink-red. Occasionally the spores stain with a red `belt' across the centre of the spore, or show polar granules, which are both diagnostic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.75pt;margin-top:9.5pt;width:387.2pt;height:51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">
                <v:textbox>
                  <w:txbxContent>
                    <w:p w:rsidR="00421AF2" w:rsidRPr="00D45858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rPr>
                          <w:b/>
                          <w:i/>
                        </w:rPr>
                        <w:t>Cystoisospora</w:t>
                      </w:r>
                      <w:r w:rsidRPr="00425B12">
                        <w:rPr>
                          <w:b/>
                          <w:i/>
                        </w:rPr>
                        <w:t xml:space="preserve"> belli</w:t>
                      </w:r>
                      <w:r>
                        <w:rPr>
                          <w:i/>
                        </w:rPr>
                        <w:fldChar w:fldCharType="begin"/>
                      </w:r>
                      <w:r>
                        <w:rPr>
                          <w:i/>
                        </w:rPr>
                        <w:instrText xml:space="preserve"> ADDIN REFMGR.CITE &lt;Refman&gt;&lt;Cite&gt;&lt;Year&gt;1991&lt;/Year&gt;&lt;RecNum&gt;20&lt;/RecNum&gt;&lt;IDText&gt;Basic laboratory methods in medical parasitology&lt;/IDText&gt;&lt;MDL Ref_Type="Book, Whole"&gt;&lt;Ref_Type&gt;Book, Whole&lt;/Ref_Type&gt;&lt;Ref_ID&gt;20&lt;/Ref_ID&gt;&lt;Title_Primary&gt;Basic laboratory methods in medical parasitology&lt;/Title_Primary&gt;&lt;Date_Primary&gt;1991&lt;/Date_Primary&gt;&lt;Keywords&gt;B 31&lt;/Keywords&gt;&lt;Keywords&gt;Laboratories&lt;/Keywords&gt;&lt;Keywords&gt;methods&lt;/Keywords&gt;&lt;Keywords&gt;parasitology&lt;/Keywords&gt;&lt;Reprint&gt;Not in File&lt;/Reprint&gt;&lt;Start_Page&gt;77&lt;/Start_Page&gt;&lt;End_Page&gt;78&lt;/End_Page&gt;&lt;Pub_Place&gt;Geneva&lt;/Pub_Place&gt;&lt;Publisher&gt;World Health Organization&lt;/Publisher&gt;&lt;ZZ_WorkformID&gt;2&lt;/ZZ_WorkformID&gt;&lt;/MDL&gt;&lt;/Cite&gt;&lt;/Refman&gt;</w:instrText>
                      </w:r>
                      <w:r>
                        <w:rPr>
                          <w:i/>
                        </w:rPr>
                        <w:fldChar w:fldCharType="separate"/>
                      </w:r>
                      <w:r w:rsidRPr="00EC0CA3">
                        <w:rPr>
                          <w:i/>
                          <w:noProof/>
                          <w:vertAlign w:val="superscript"/>
                        </w:rPr>
                        <w:t>1</w:t>
                      </w:r>
                      <w:r>
                        <w:rPr>
                          <w:i/>
                        </w:rPr>
                        <w:fldChar w:fldCharType="end"/>
                      </w:r>
                    </w:p>
                    <w:p w:rsidR="00421AF2" w:rsidRDefault="00421AF2" w:rsidP="00791C76">
                      <w:pPr>
                        <w:jc w:val="lef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DF8218B" wp14:editId="732BA410">
                            <wp:extent cx="3265805" cy="653415"/>
                            <wp:effectExtent l="0" t="0" r="0" b="0"/>
                            <wp:docPr id="6" name="Picture 6" descr="Appendix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ppendix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805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F2" w:rsidRDefault="00791C76" w:rsidP="00791C76">
                      <w:pPr>
                        <w:pStyle w:val="HPAbodytextTable"/>
                        <w:tabs>
                          <w:tab w:val="left" w:pos="1348"/>
                          <w:tab w:val="left" w:pos="3119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t xml:space="preserve">Immature oocyst </w:t>
                      </w:r>
                      <w:r w:rsidR="00421AF2" w:rsidRPr="00AD0BA5">
                        <w:t>(3</w:t>
                      </w:r>
                      <w:r w:rsidR="00421AF2">
                        <w:t>2 x 16µ</w:t>
                      </w:r>
                      <w:r>
                        <w:t>m)</w:t>
                      </w:r>
                      <w:r>
                        <w:tab/>
                      </w:r>
                      <w:r w:rsidR="00421AF2" w:rsidRPr="00AD0BA5">
                        <w:t>Mature oocyst</w:t>
                      </w:r>
                    </w:p>
                    <w:p w:rsidR="00421AF2" w:rsidRPr="00D45858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D45858">
                        <w:t>Oocysts are transparent.  Reduced illumination is recommended. Modified Ziehl-Neelsen can be used for direct smears</w:t>
                      </w:r>
                    </w:p>
                    <w:p w:rsidR="00421AF2" w:rsidRPr="00791C76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rPr>
                          <w:b/>
                          <w:i/>
                        </w:rPr>
                      </w:pPr>
                      <w:r w:rsidRPr="00791C76">
                        <w:rPr>
                          <w:b/>
                          <w:i/>
                        </w:rPr>
                        <w:t xml:space="preserve">Cryptosporidium </w:t>
                      </w:r>
                      <w:r w:rsidRPr="00791C76">
                        <w:rPr>
                          <w:b/>
                        </w:rPr>
                        <w:t>species</w:t>
                      </w:r>
                    </w:p>
                    <w:p w:rsidR="00421AF2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20075" wp14:editId="3B187214">
                            <wp:extent cx="866775" cy="462915"/>
                            <wp:effectExtent l="0" t="0" r="9525" b="0"/>
                            <wp:docPr id="5" name="Picture 5" descr="Appendix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ppendix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6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F2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t xml:space="preserve">            5µ</w:t>
                      </w:r>
                      <w:r w:rsidRPr="00AD0BA5">
                        <w:t>m</w:t>
                      </w:r>
                    </w:p>
                    <w:p w:rsidR="00421AF2" w:rsidRPr="00D45858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D45858">
                        <w:t xml:space="preserve">Auramine-phenol and modified </w:t>
                      </w:r>
                      <w:r w:rsidR="00C34CBB" w:rsidRPr="00D45858">
                        <w:t>Ziehl-Neelson</w:t>
                      </w:r>
                      <w:r w:rsidRPr="00D45858">
                        <w:t xml:space="preserve"> stains are recommended</w:t>
                      </w:r>
                    </w:p>
                    <w:p w:rsidR="00421AF2" w:rsidRPr="00D45858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D45858">
                        <w:rPr>
                          <w:i/>
                        </w:rPr>
                        <w:t xml:space="preserve">Cyclospora </w:t>
                      </w:r>
                      <w:r w:rsidR="00C34CBB">
                        <w:t xml:space="preserve">species </w:t>
                      </w:r>
                      <w:r w:rsidRPr="00D45858">
                        <w:t>(CLB)</w:t>
                      </w:r>
                    </w:p>
                    <w:p w:rsidR="00421AF2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t xml:space="preserve">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D408F" wp14:editId="4A0278E1">
                            <wp:extent cx="1769110" cy="724535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110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8 – 10 µ</w:t>
                      </w:r>
                      <w:r w:rsidRPr="00AD0BA5">
                        <w:t>m</w:t>
                      </w:r>
                    </w:p>
                    <w:p w:rsidR="00421AF2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t xml:space="preserve"> </w:t>
                      </w:r>
                      <w:r w:rsidR="00E4499C">
                        <w:tab/>
                      </w:r>
                      <w:r w:rsidR="00E4499C">
                        <w:tab/>
                      </w:r>
                      <w:r w:rsidR="00C34CBB" w:rsidRPr="00AD0BA5">
                        <w:t>Unsporulated</w:t>
                      </w:r>
                      <w:r w:rsidRPr="00AD0BA5">
                        <w:tab/>
                      </w:r>
                      <w:r w:rsidRPr="00AD0BA5">
                        <w:tab/>
                      </w:r>
                      <w:r w:rsidR="00C34CBB">
                        <w:t>S</w:t>
                      </w:r>
                      <w:r w:rsidRPr="00AD0BA5">
                        <w:t>porulated</w:t>
                      </w:r>
                    </w:p>
                    <w:p w:rsidR="00421AF2" w:rsidRPr="00D45858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D45858">
                        <w:t xml:space="preserve">In an unstained wet preparation, a central morula contains several refractile spheres. In fresh water, the morula divides into 2 smaller structures. </w:t>
                      </w:r>
                      <w:r w:rsidRPr="005F68F7">
                        <w:rPr>
                          <w:i/>
                        </w:rPr>
                        <w:t>Cyclospora cayetanesis</w:t>
                      </w:r>
                      <w:r w:rsidRPr="00D45858">
                        <w:t xml:space="preserve"> can be seen in </w:t>
                      </w:r>
                      <w:r>
                        <w:t>formol</w:t>
                      </w:r>
                      <w:r w:rsidRPr="00D45858">
                        <w:t xml:space="preserve">-ether concentrations as refractile spheres which do not stain with iodine but are variably acid-fast, staining pink or not at all with modified Ziehl-Neelsen stain. </w:t>
                      </w:r>
                      <w:proofErr w:type="gramStart"/>
                      <w:r w:rsidRPr="00D45858">
                        <w:t>Will not stain with auramine-phenol stain.</w:t>
                      </w:r>
                      <w:proofErr w:type="gramEnd"/>
                      <w:r w:rsidRPr="00D45858">
                        <w:t xml:space="preserve"> Will auto-fluoresce blue at 340 – 360 nm</w:t>
                      </w:r>
                    </w:p>
                    <w:p w:rsidR="00421AF2" w:rsidRPr="00791C76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rPr>
                          <w:b/>
                        </w:rPr>
                      </w:pPr>
                      <w:r w:rsidRPr="00791C76">
                        <w:rPr>
                          <w:b/>
                        </w:rPr>
                        <w:t>Microsporidia</w:t>
                      </w:r>
                      <w:r w:rsidRPr="00791C76">
                        <w:rPr>
                          <w:b/>
                        </w:rPr>
                        <w:tab/>
                      </w:r>
                    </w:p>
                    <w:p w:rsidR="00421AF2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E41BCA" wp14:editId="590AFC3B">
                            <wp:extent cx="688975" cy="735965"/>
                            <wp:effectExtent l="0" t="0" r="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975" cy="735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1-2 µ</w:t>
                      </w:r>
                      <w:r w:rsidRPr="00EC1E01">
                        <w:t>m</w:t>
                      </w:r>
                    </w:p>
                    <w:p w:rsidR="00421AF2" w:rsidRPr="00AD0BA5" w:rsidRDefault="00421AF2" w:rsidP="00791C76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EC1E01">
                        <w:t xml:space="preserve">Although microsporidia may appear acid-fast when stained with modified </w:t>
                      </w:r>
                      <w:r w:rsidR="00C34CBB" w:rsidRPr="00EC1E01">
                        <w:t>Ziehl-Neelson</w:t>
                      </w:r>
                      <w:r w:rsidRPr="00EC1E01">
                        <w:t>, the trichrome stain is recommended. Microsporidial</w:t>
                      </w:r>
                      <w:bookmarkStart w:id="1" w:name="_GoBack"/>
                      <w:bookmarkEnd w:id="1"/>
                      <w:r w:rsidRPr="00EC1E01">
                        <w:t xml:space="preserve"> spores are ovoid and refractile and the spore wall stains bright pink-red. Occasionally the spores stain with a red `belt' across the centre of the spore, or show polar granules, which are both diagnostic features</w:t>
                      </w:r>
                    </w:p>
                  </w:txbxContent>
                </v:textbox>
              </v:shape>
            </w:pict>
          </mc:Fallback>
        </mc:AlternateContent>
      </w:r>
    </w:p>
    <w:p w:rsidR="00096E23" w:rsidRPr="00915158" w:rsidRDefault="00096E23">
      <w:pPr>
        <w:spacing w:after="0" w:line="240" w:lineRule="auto"/>
        <w:jc w:val="left"/>
        <w:rPr>
          <w:lang w:val="en-GB"/>
        </w:rPr>
      </w:pPr>
      <w:r w:rsidRPr="00915158">
        <w:rPr>
          <w:lang w:val="en-GB"/>
        </w:rPr>
        <w:br w:type="page"/>
      </w:r>
    </w:p>
    <w:p w:rsidR="00421AF2" w:rsidRPr="00915158" w:rsidRDefault="00421AF2" w:rsidP="00421AF2">
      <w:pPr>
        <w:spacing w:after="240"/>
        <w:jc w:val="left"/>
        <w:rPr>
          <w:b/>
          <w:lang w:val="en-GB"/>
        </w:rPr>
      </w:pPr>
      <w:r w:rsidRPr="0091515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C9C46" wp14:editId="77F3CE71">
                <wp:simplePos x="0" y="0"/>
                <wp:positionH relativeFrom="column">
                  <wp:posOffset>-1270</wp:posOffset>
                </wp:positionH>
                <wp:positionV relativeFrom="paragraph">
                  <wp:posOffset>167005</wp:posOffset>
                </wp:positionV>
                <wp:extent cx="5109845" cy="5962015"/>
                <wp:effectExtent l="0" t="0" r="14605" b="1968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596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F2" w:rsidRPr="00D45858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ind w:left="1080"/>
                            </w:pPr>
                            <w:r w:rsidRPr="00421AF2">
                              <w:rPr>
                                <w:b/>
                                <w:i/>
                              </w:rPr>
                              <w:t>Taenia solium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21AF2">
                              <w:rPr>
                                <w:b/>
                                <w:i/>
                              </w:rPr>
                              <w:t>Taenia saginata</w:t>
                            </w:r>
                          </w:p>
                          <w:p w:rsidR="00421AF2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ind w:left="1080"/>
                            </w:pPr>
                            <w:r>
                              <w:t>(pork tapeworm)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D45858">
                              <w:t>(beef tapeworm</w:t>
                            </w:r>
                            <w:r>
                              <w:t>)</w:t>
                            </w:r>
                          </w:p>
                          <w:p w:rsidR="00421AF2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ind w:left="10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7DB68" wp14:editId="15991F5E">
                                  <wp:extent cx="3907155" cy="3075940"/>
                                  <wp:effectExtent l="0" t="0" r="0" b="0"/>
                                  <wp:docPr id="22" name="Picture 22" descr="Appendix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ppendix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7155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F2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rPr>
                                <w:b/>
                              </w:rPr>
                            </w:pPr>
                          </w:p>
                          <w:p w:rsidR="00421AF2" w:rsidRPr="00421AF2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  <w:rPr>
                                <w:b/>
                              </w:rPr>
                            </w:pPr>
                            <w:r w:rsidRPr="00421AF2">
                              <w:rPr>
                                <w:b/>
                              </w:rPr>
                              <w:t>Appearance of gravid segments of tapeworms found in humans.</w:t>
                            </w:r>
                          </w:p>
                          <w:p w:rsidR="00421AF2" w:rsidRPr="00D45858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512EB" wp14:editId="10C39CF0">
                                  <wp:extent cx="3467735" cy="1021080"/>
                                  <wp:effectExtent l="0" t="0" r="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735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F2" w:rsidRPr="00D81A26" w:rsidRDefault="00421AF2" w:rsidP="00421AF2">
                            <w:pPr>
                              <w:pStyle w:val="HPAbodytextTable"/>
                              <w:tabs>
                                <w:tab w:val="left" w:pos="1348"/>
                              </w:tabs>
                              <w:autoSpaceDE/>
                              <w:autoSpaceDN/>
                              <w:adjustRightInd/>
                              <w:spacing w:before="0" w:after="0" w:line="260" w:lineRule="atLeast"/>
                            </w:pPr>
                            <w:r w:rsidRPr="00421AF2">
                              <w:rPr>
                                <w:i/>
                              </w:rPr>
                              <w:t>T. saginata</w:t>
                            </w:r>
                            <w:r w:rsidRPr="00421AF2">
                              <w:rPr>
                                <w:i/>
                              </w:rPr>
                              <w:tab/>
                            </w:r>
                            <w:r w:rsidRPr="00D81A26">
                              <w:t xml:space="preserve">     </w:t>
                            </w:r>
                            <w:r w:rsidRPr="00421AF2">
                              <w:rPr>
                                <w:i/>
                              </w:rPr>
                              <w:t>T. solium</w:t>
                            </w:r>
                            <w:r w:rsidRPr="00421AF2">
                              <w:rPr>
                                <w:i/>
                              </w:rPr>
                              <w:tab/>
                              <w:t xml:space="preserve">     D. latum</w:t>
                            </w:r>
                            <w:r w:rsidRPr="00421AF2">
                              <w:rPr>
                                <w:i/>
                              </w:rPr>
                              <w:tab/>
                              <w:t xml:space="preserve">         H. 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.1pt;margin-top:13.15pt;width:402.35pt;height:46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">
                <v:textbox>
                  <w:txbxContent>
                    <w:p w:rsidR="00421AF2" w:rsidRPr="00D45858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ind w:left="1080"/>
                      </w:pPr>
                      <w:r w:rsidRPr="00421AF2">
                        <w:rPr>
                          <w:b/>
                          <w:i/>
                        </w:rPr>
                        <w:t>Taenia solium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421AF2">
                        <w:rPr>
                          <w:b/>
                          <w:i/>
                        </w:rPr>
                        <w:t>Taenia saginata</w:t>
                      </w:r>
                    </w:p>
                    <w:p w:rsidR="00421AF2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ind w:left="1080"/>
                      </w:pPr>
                      <w:r>
                        <w:t>(</w:t>
                      </w:r>
                      <w:proofErr w:type="gramStart"/>
                      <w:r>
                        <w:t>pork</w:t>
                      </w:r>
                      <w:proofErr w:type="gramEnd"/>
                      <w:r>
                        <w:t xml:space="preserve"> tapeworm)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D45858">
                        <w:t>(</w:t>
                      </w:r>
                      <w:proofErr w:type="gramStart"/>
                      <w:r w:rsidRPr="00D45858">
                        <w:t>beef</w:t>
                      </w:r>
                      <w:proofErr w:type="gramEnd"/>
                      <w:r w:rsidRPr="00D45858">
                        <w:t xml:space="preserve"> tapeworm</w:t>
                      </w:r>
                      <w:r>
                        <w:t>)</w:t>
                      </w:r>
                    </w:p>
                    <w:p w:rsidR="00421AF2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ind w:left="10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7DB68" wp14:editId="15991F5E">
                            <wp:extent cx="3907155" cy="3075940"/>
                            <wp:effectExtent l="0" t="0" r="0" b="0"/>
                            <wp:docPr id="22" name="Picture 22" descr="Appendix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ppendix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7155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F2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rPr>
                          <w:b/>
                        </w:rPr>
                      </w:pPr>
                    </w:p>
                    <w:p w:rsidR="00421AF2" w:rsidRPr="00421AF2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  <w:rPr>
                          <w:b/>
                        </w:rPr>
                      </w:pPr>
                      <w:proofErr w:type="gramStart"/>
                      <w:r w:rsidRPr="00421AF2">
                        <w:rPr>
                          <w:b/>
                        </w:rPr>
                        <w:t>Appearance of gravid segments of tapeworms found in humans.</w:t>
                      </w:r>
                      <w:proofErr w:type="gramEnd"/>
                    </w:p>
                    <w:p w:rsidR="00421AF2" w:rsidRPr="00D45858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512EB" wp14:editId="10C39CF0">
                            <wp:extent cx="3467735" cy="1021080"/>
                            <wp:effectExtent l="0" t="0" r="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735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F2" w:rsidRPr="00D81A26" w:rsidRDefault="00421AF2" w:rsidP="00421AF2">
                      <w:pPr>
                        <w:pStyle w:val="HPAbodytextTable"/>
                        <w:tabs>
                          <w:tab w:val="left" w:pos="1348"/>
                        </w:tabs>
                        <w:autoSpaceDE/>
                        <w:autoSpaceDN/>
                        <w:adjustRightInd/>
                        <w:spacing w:before="0" w:after="0" w:line="260" w:lineRule="atLeast"/>
                      </w:pPr>
                      <w:r w:rsidRPr="00421AF2">
                        <w:rPr>
                          <w:i/>
                        </w:rPr>
                        <w:t>T. saginata</w:t>
                      </w:r>
                      <w:r w:rsidRPr="00421AF2">
                        <w:rPr>
                          <w:i/>
                        </w:rPr>
                        <w:tab/>
                      </w:r>
                      <w:r w:rsidRPr="00D81A26">
                        <w:t xml:space="preserve">     </w:t>
                      </w:r>
                      <w:r w:rsidRPr="00421AF2">
                        <w:rPr>
                          <w:i/>
                        </w:rPr>
                        <w:t>T. solium</w:t>
                      </w:r>
                      <w:r w:rsidRPr="00421AF2">
                        <w:rPr>
                          <w:i/>
                        </w:rPr>
                        <w:tab/>
                        <w:t xml:space="preserve">     D. latum</w:t>
                      </w:r>
                      <w:r w:rsidRPr="00421AF2">
                        <w:rPr>
                          <w:i/>
                        </w:rPr>
                        <w:tab/>
                        <w:t xml:space="preserve">         H. nana</w:t>
                      </w:r>
                    </w:p>
                  </w:txbxContent>
                </v:textbox>
              </v:shape>
            </w:pict>
          </mc:Fallback>
        </mc:AlternateContent>
      </w:r>
      <w:r w:rsidRPr="00915158">
        <w:rPr>
          <w:b/>
          <w:lang w:val="en-GB"/>
        </w:rPr>
        <w:t>Comparison of tapeworms found in humans</w:t>
      </w:r>
    </w:p>
    <w:p w:rsidR="00421AF2" w:rsidRPr="00915158" w:rsidRDefault="00421AF2" w:rsidP="00421AF2">
      <w:pPr>
        <w:spacing w:after="240"/>
        <w:jc w:val="left"/>
        <w:rPr>
          <w:b/>
          <w:lang w:val="en-GB"/>
        </w:rPr>
      </w:pPr>
    </w:p>
    <w:p w:rsidR="00421AF2" w:rsidRPr="00915158" w:rsidRDefault="00421AF2" w:rsidP="00421AF2">
      <w:pPr>
        <w:spacing w:after="0" w:line="240" w:lineRule="auto"/>
        <w:jc w:val="left"/>
        <w:rPr>
          <w:b/>
          <w:lang w:val="en-GB"/>
        </w:rPr>
      </w:pPr>
    </w:p>
    <w:p w:rsidR="008E11C5" w:rsidRPr="00915158" w:rsidRDefault="00421AF2" w:rsidP="00421AF2">
      <w:pPr>
        <w:spacing w:line="240" w:lineRule="auto"/>
        <w:jc w:val="left"/>
        <w:rPr>
          <w:b/>
          <w:lang w:val="en-GB"/>
        </w:rPr>
      </w:pPr>
      <w:r w:rsidRPr="00915158">
        <w:rPr>
          <w:lang w:val="en-GB"/>
        </w:rPr>
        <w:t xml:space="preserve"> </w:t>
      </w:r>
      <w:r w:rsidR="001D2051" w:rsidRPr="00915158">
        <w:rPr>
          <w:lang w:val="en-GB"/>
        </w:rPr>
        <w:br w:type="page"/>
      </w:r>
      <w:r w:rsidR="008E11C5" w:rsidRPr="00915158">
        <w:rPr>
          <w:b/>
          <w:lang w:val="en-GB"/>
        </w:rPr>
        <w:t>Helminth larvae – characteristics</w:t>
      </w:r>
    </w:p>
    <w:tbl>
      <w:tblPr>
        <w:tblW w:w="902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8E11C5" w:rsidRPr="00915158" w:rsidTr="007036A8">
        <w:trPr>
          <w:cantSplit/>
        </w:trPr>
        <w:tc>
          <w:tcPr>
            <w:tcW w:w="4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8E11C5" w:rsidRPr="00915158" w:rsidRDefault="008E11C5" w:rsidP="008E11C5">
            <w:pPr>
              <w:spacing w:after="0"/>
              <w:rPr>
                <w:b/>
                <w:lang w:val="en-GB"/>
              </w:rPr>
            </w:pPr>
            <w:r w:rsidRPr="00915158">
              <w:rPr>
                <w:b/>
                <w:lang w:val="en-GB"/>
              </w:rPr>
              <w:t>Hookworm</w:t>
            </w:r>
          </w:p>
          <w:p w:rsidR="008E11C5" w:rsidRPr="00915158" w:rsidRDefault="008E11C5" w:rsidP="008E11C5">
            <w:pPr>
              <w:spacing w:after="0"/>
              <w:rPr>
                <w:lang w:val="en-GB"/>
              </w:rPr>
            </w:pPr>
            <w:r w:rsidRPr="00915158">
              <w:rPr>
                <w:b/>
                <w:i/>
                <w:lang w:val="en-GB"/>
              </w:rPr>
              <w:t>Filariform larvae</w:t>
            </w:r>
            <w:r w:rsidRPr="00915158">
              <w:rPr>
                <w:i/>
                <w:lang w:val="en-GB"/>
              </w:rPr>
              <w:br/>
            </w:r>
            <w:r w:rsidRPr="00915158">
              <w:rPr>
                <w:lang w:val="en-GB"/>
              </w:rPr>
              <w:t xml:space="preserve">Size 500 x 14-20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 xml:space="preserve">m  </w:t>
            </w:r>
            <w:r w:rsidRPr="00915158">
              <w:rPr>
                <w:lang w:val="en-GB"/>
              </w:rPr>
              <w:br/>
              <w:t>Sheathed</w:t>
            </w:r>
            <w:r w:rsidRPr="00915158">
              <w:rPr>
                <w:lang w:val="en-GB"/>
              </w:rPr>
              <w:br/>
              <w:t>Tapered tail</w:t>
            </w:r>
            <w:r w:rsidRPr="00915158">
              <w:rPr>
                <w:lang w:val="en-GB"/>
              </w:rPr>
              <w:br/>
              <w:t xml:space="preserve">Oesophagus one-third of body length </w:t>
            </w:r>
          </w:p>
          <w:p w:rsidR="008E11C5" w:rsidRPr="00915158" w:rsidRDefault="008E11C5" w:rsidP="008E11C5">
            <w:pPr>
              <w:spacing w:after="0"/>
              <w:rPr>
                <w:i/>
                <w:lang w:val="en-GB"/>
              </w:rPr>
            </w:pPr>
            <w:r w:rsidRPr="00915158">
              <w:rPr>
                <w:b/>
                <w:i/>
                <w:lang w:val="en-GB"/>
              </w:rPr>
              <w:t>Rhabditiform larvae</w:t>
            </w:r>
            <w:r w:rsidRPr="00915158">
              <w:rPr>
                <w:i/>
                <w:lang w:val="en-GB"/>
              </w:rPr>
              <w:br/>
            </w:r>
            <w:r w:rsidRPr="00915158">
              <w:rPr>
                <w:lang w:val="en-GB"/>
              </w:rPr>
              <w:t xml:space="preserve">Size 100 - 150 x 15-17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 xml:space="preserve">Long buccal cavity – 15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>Oesophagus one-third of body length with two swellings</w:t>
            </w:r>
            <w:r w:rsidRPr="00915158">
              <w:rPr>
                <w:lang w:val="en-GB"/>
              </w:rPr>
              <w:br/>
              <w:t xml:space="preserve">Genital primordium small – 7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 xml:space="preserve">Anal pore 80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 from posterior end</w:t>
            </w:r>
          </w:p>
        </w:tc>
        <w:tc>
          <w:tcPr>
            <w:tcW w:w="451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8E11C5" w:rsidRPr="00915158" w:rsidRDefault="008E11C5" w:rsidP="008E11C5">
            <w:pPr>
              <w:spacing w:after="0"/>
              <w:rPr>
                <w:b/>
                <w:lang w:val="en-GB"/>
              </w:rPr>
            </w:pPr>
            <w:r w:rsidRPr="00915158">
              <w:rPr>
                <w:b/>
                <w:lang w:val="en-GB"/>
              </w:rPr>
              <w:t>Strongyloides</w:t>
            </w:r>
          </w:p>
          <w:p w:rsidR="008E11C5" w:rsidRPr="00915158" w:rsidRDefault="008E11C5" w:rsidP="008E11C5">
            <w:pPr>
              <w:spacing w:after="0"/>
              <w:rPr>
                <w:lang w:val="en-GB"/>
              </w:rPr>
            </w:pPr>
            <w:r w:rsidRPr="00915158">
              <w:rPr>
                <w:b/>
                <w:i/>
                <w:lang w:val="en-GB"/>
              </w:rPr>
              <w:t>Filariform larvae</w:t>
            </w:r>
            <w:r w:rsidRPr="00915158">
              <w:rPr>
                <w:lang w:val="en-GB"/>
              </w:rPr>
              <w:br/>
              <w:t xml:space="preserve">Size 500 x 14-20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>Unsheathed</w:t>
            </w:r>
            <w:r w:rsidRPr="00915158">
              <w:rPr>
                <w:lang w:val="en-GB"/>
              </w:rPr>
              <w:br/>
              <w:t>Blunt or forked tail</w:t>
            </w:r>
            <w:r w:rsidRPr="00915158">
              <w:rPr>
                <w:lang w:val="en-GB"/>
              </w:rPr>
              <w:br/>
              <w:t>Oesophagus half of body length</w:t>
            </w:r>
          </w:p>
          <w:p w:rsidR="008E11C5" w:rsidRPr="00915158" w:rsidRDefault="008E11C5" w:rsidP="008E11C5">
            <w:pPr>
              <w:spacing w:after="0"/>
              <w:rPr>
                <w:i/>
                <w:lang w:val="en-GB"/>
              </w:rPr>
            </w:pPr>
            <w:r w:rsidRPr="00915158">
              <w:rPr>
                <w:b/>
                <w:i/>
                <w:lang w:val="en-GB"/>
              </w:rPr>
              <w:t>Rhabditiform larvae</w:t>
            </w:r>
            <w:r w:rsidRPr="00915158">
              <w:rPr>
                <w:i/>
                <w:lang w:val="en-GB"/>
              </w:rPr>
              <w:br/>
            </w:r>
            <w:r w:rsidRPr="00915158">
              <w:rPr>
                <w:lang w:val="en-GB"/>
              </w:rPr>
              <w:t xml:space="preserve">Size 200 - 300 x 15-18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 xml:space="preserve">Short buccal cavity – 4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>Oesophagus one-third of body length with two swellings</w:t>
            </w:r>
            <w:r w:rsidRPr="00915158">
              <w:rPr>
                <w:lang w:val="en-GB"/>
              </w:rPr>
              <w:br/>
              <w:t xml:space="preserve">Genital primordium large – 22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</w:t>
            </w:r>
            <w:r w:rsidRPr="00915158">
              <w:rPr>
                <w:lang w:val="en-GB"/>
              </w:rPr>
              <w:br/>
              <w:t xml:space="preserve">Anal pore 50 </w:t>
            </w:r>
            <w:r w:rsidRPr="00915158">
              <w:rPr>
                <w:rFonts w:ascii="Courier New" w:hAnsi="Courier New" w:cs="Courier New"/>
                <w:lang w:val="en-GB"/>
              </w:rPr>
              <w:t>μ</w:t>
            </w:r>
            <w:r w:rsidRPr="00915158">
              <w:rPr>
                <w:lang w:val="en-GB"/>
              </w:rPr>
              <w:t>m from posterior end</w:t>
            </w:r>
          </w:p>
        </w:tc>
      </w:tr>
    </w:tbl>
    <w:p w:rsidR="001D2051" w:rsidRPr="00915158" w:rsidRDefault="001D2051" w:rsidP="008E11C5">
      <w:pPr>
        <w:rPr>
          <w:lang w:val="en-GB"/>
        </w:rPr>
      </w:pPr>
      <w:r w:rsidRPr="00915158">
        <w:rPr>
          <w:lang w:val="en-GB"/>
        </w:rPr>
        <w:t xml:space="preserve">In fresh stool specimens, the most likely larvae to be seen are rhabditiform larvae of </w:t>
      </w:r>
      <w:r w:rsidRPr="00915158">
        <w:rPr>
          <w:i/>
          <w:lang w:val="en-GB"/>
        </w:rPr>
        <w:t>Strongyloides stercoralis.</w:t>
      </w:r>
      <w:r w:rsidRPr="00915158">
        <w:rPr>
          <w:lang w:val="en-GB"/>
        </w:rPr>
        <w:t xml:space="preserve"> If the stool is &gt;12 hours old, the larvae may develop into filariform larvae which must be differentiated from hookworm larvae (these may appear in the stool within 12 – 24hrs).</w:t>
      </w:r>
    </w:p>
    <w:p w:rsidR="001D2051" w:rsidRPr="00915158" w:rsidRDefault="001D2051">
      <w:pPr>
        <w:spacing w:after="0" w:line="240" w:lineRule="auto"/>
        <w:jc w:val="left"/>
        <w:rPr>
          <w:noProof/>
          <w:lang w:val="en-GB" w:eastAsia="en-GB"/>
        </w:rPr>
      </w:pPr>
      <w:r w:rsidRPr="00915158">
        <w:rPr>
          <w:noProof/>
          <w:lang w:val="en-GB" w:eastAsia="en-GB"/>
        </w:rPr>
        <w:drawing>
          <wp:inline distT="0" distB="0" distL="0" distR="0" wp14:anchorId="5F43BAE9" wp14:editId="44667235">
            <wp:extent cx="4648963" cy="3708000"/>
            <wp:effectExtent l="19050" t="19050" r="18415" b="26035"/>
            <wp:docPr id="24" name="Picture 24" descr="Appendix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ppendix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63" cy="37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5158">
        <w:rPr>
          <w:noProof/>
          <w:lang w:val="en-GB" w:eastAsia="en-GB"/>
        </w:rPr>
        <w:br w:type="page"/>
      </w:r>
    </w:p>
    <w:p w:rsidR="00EE18F6" w:rsidRPr="00915158" w:rsidRDefault="00EE18F6" w:rsidP="00421AF2">
      <w:pPr>
        <w:rPr>
          <w:b/>
          <w:noProof/>
          <w:lang w:val="en-GB" w:eastAsia="en-GB"/>
        </w:rPr>
      </w:pPr>
      <w:r w:rsidRPr="00915158">
        <w:rPr>
          <w:b/>
          <w:lang w:val="en-GB"/>
        </w:rPr>
        <w:t>Identification of amoebic trophozoites in stained smears</w:t>
      </w:r>
    </w:p>
    <w:p w:rsidR="001D2051" w:rsidRPr="00915158" w:rsidRDefault="00EE18F6" w:rsidP="00096E23">
      <w:pPr>
        <w:rPr>
          <w:lang w:val="en-GB"/>
        </w:rPr>
      </w:pPr>
      <w:r w:rsidRPr="0091515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834DF" wp14:editId="6C510BC7">
                <wp:simplePos x="0" y="0"/>
                <wp:positionH relativeFrom="column">
                  <wp:posOffset>3215244</wp:posOffset>
                </wp:positionH>
                <wp:positionV relativeFrom="paragraph">
                  <wp:posOffset>5647129</wp:posOffset>
                </wp:positionV>
                <wp:extent cx="1769424" cy="1403985"/>
                <wp:effectExtent l="0" t="0" r="254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42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8F6" w:rsidRPr="00EE18F6" w:rsidRDefault="00EE18F6">
                            <w:pPr>
                              <w:rPr>
                                <w:b/>
                              </w:rPr>
                            </w:pPr>
                            <w:r w:rsidRPr="00EE18F6">
                              <w:rPr>
                                <w:b/>
                                <w:i/>
                              </w:rPr>
                              <w:t>Acanthamoeba</w:t>
                            </w:r>
                            <w:r w:rsidRPr="00EE18F6">
                              <w:rPr>
                                <w:b/>
                              </w:rPr>
                              <w:t xml:space="preserve"> </w:t>
                            </w:r>
                            <w:r w:rsidRPr="00EE18F6">
                              <w:t>(25-40µm)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53.15pt;margin-top:444.65pt;width:139.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" stroked="f">
                <v:textbox style="mso-fit-shape-to-text:t">
                  <w:txbxContent>
                    <w:p w:rsidR="00EE18F6" w:rsidRPr="00EE18F6" w:rsidRDefault="00EE18F6">
                      <w:pPr>
                        <w:rPr>
                          <w:b/>
                        </w:rPr>
                      </w:pPr>
                      <w:proofErr w:type="spellStart"/>
                      <w:r w:rsidRPr="00EE18F6">
                        <w:rPr>
                          <w:b/>
                          <w:i/>
                        </w:rPr>
                        <w:t>Acanthamoeba</w:t>
                      </w:r>
                      <w:proofErr w:type="spellEnd"/>
                      <w:r w:rsidRPr="00EE18F6">
                        <w:rPr>
                          <w:b/>
                        </w:rPr>
                        <w:t xml:space="preserve"> </w:t>
                      </w:r>
                      <w:r w:rsidRPr="00EE18F6">
                        <w:t>(25-40µm)</w:t>
                      </w:r>
                    </w:p>
                  </w:txbxContent>
                </v:textbox>
              </v:shape>
            </w:pict>
          </mc:Fallback>
        </mc:AlternateContent>
      </w:r>
      <w:r w:rsidR="001D2051" w:rsidRPr="00915158">
        <w:rPr>
          <w:noProof/>
          <w:lang w:val="en-GB" w:eastAsia="en-GB"/>
        </w:rPr>
        <w:drawing>
          <wp:inline distT="0" distB="0" distL="0" distR="0" wp14:anchorId="7C3DB70B" wp14:editId="66A41475">
            <wp:extent cx="5450840" cy="6923405"/>
            <wp:effectExtent l="19050" t="19050" r="16510" b="10795"/>
            <wp:docPr id="25" name="Picture 25" descr="Appendix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ppendix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692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051" w:rsidRPr="00915158" w:rsidRDefault="001D2051" w:rsidP="00421AF2">
      <w:pPr>
        <w:rPr>
          <w:b/>
          <w:noProof/>
          <w:lang w:val="en-GB" w:eastAsia="en-GB"/>
        </w:rPr>
      </w:pPr>
      <w:r w:rsidRPr="00915158">
        <w:rPr>
          <w:lang w:val="en-GB"/>
        </w:rPr>
        <w:br w:type="page"/>
      </w:r>
      <w:r w:rsidRPr="00915158">
        <w:rPr>
          <w:b/>
          <w:i/>
          <w:noProof/>
          <w:lang w:val="en-GB" w:eastAsia="en-GB"/>
        </w:rPr>
        <w:t xml:space="preserve">Balantidium col – </w:t>
      </w:r>
      <w:r w:rsidRPr="00915158">
        <w:rPr>
          <w:b/>
          <w:noProof/>
          <w:lang w:val="en-GB" w:eastAsia="en-GB"/>
        </w:rPr>
        <w:t>trophozoite and cyst</w:t>
      </w:r>
    </w:p>
    <w:p w:rsidR="001D2051" w:rsidRPr="00915158" w:rsidRDefault="001D2051" w:rsidP="00096E23">
      <w:pPr>
        <w:rPr>
          <w:lang w:val="en-GB"/>
        </w:rPr>
      </w:pPr>
      <w:r w:rsidRPr="00915158">
        <w:rPr>
          <w:noProof/>
          <w:lang w:val="en-GB" w:eastAsia="en-GB"/>
        </w:rPr>
        <w:drawing>
          <wp:inline distT="0" distB="0" distL="0" distR="0" wp14:anchorId="3FB1C943" wp14:editId="2282D360">
            <wp:extent cx="4084188" cy="1867562"/>
            <wp:effectExtent l="57150" t="57150" r="107315" b="113665"/>
            <wp:docPr id="26" name="Picture 26" descr="Appendix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ppendix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1867535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051" w:rsidRPr="00915158" w:rsidRDefault="001D2051" w:rsidP="00096E23">
      <w:pPr>
        <w:rPr>
          <w:b/>
          <w:noProof/>
          <w:lang w:val="en-GB" w:eastAsia="en-GB"/>
        </w:rPr>
      </w:pPr>
      <w:r w:rsidRPr="00915158">
        <w:rPr>
          <w:b/>
          <w:lang w:val="en-GB"/>
        </w:rPr>
        <w:t>Identification of amoebic and flagellate cysts</w:t>
      </w:r>
    </w:p>
    <w:p w:rsidR="00F41F92" w:rsidRPr="00915158" w:rsidRDefault="00F41F92">
      <w:pPr>
        <w:spacing w:after="0" w:line="240" w:lineRule="auto"/>
        <w:jc w:val="left"/>
        <w:rPr>
          <w:noProof/>
          <w:lang w:val="en-GB" w:eastAsia="en-GB"/>
        </w:rPr>
      </w:pPr>
      <w:r w:rsidRPr="00915158">
        <w:rPr>
          <w:noProof/>
          <w:lang w:val="en-GB" w:eastAsia="en-GB"/>
        </w:rPr>
        <w:drawing>
          <wp:inline distT="0" distB="0" distL="0" distR="0" wp14:anchorId="0FF3E105" wp14:editId="1A0C39D0">
            <wp:extent cx="5486400" cy="4176395"/>
            <wp:effectExtent l="76200" t="76200" r="95250" b="109855"/>
            <wp:docPr id="27" name="Picture 27" descr="Appendix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ppendix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15158">
        <w:rPr>
          <w:noProof/>
          <w:lang w:val="en-GB" w:eastAsia="en-GB"/>
        </w:rPr>
        <w:br w:type="page"/>
      </w:r>
    </w:p>
    <w:p w:rsidR="001D2051" w:rsidRPr="00915158" w:rsidRDefault="00F41F92" w:rsidP="00F41F92">
      <w:pPr>
        <w:pStyle w:val="Heading1"/>
        <w:rPr>
          <w:lang w:val="en-GB"/>
        </w:rPr>
      </w:pPr>
      <w:r w:rsidRPr="00915158">
        <w:rPr>
          <w:lang w:val="en-GB"/>
        </w:rPr>
        <w:t>Appendix 2. Calibration the microscope for measurement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(From HPA SOP 31)</w:t>
      </w:r>
    </w:p>
    <w:p w:rsidR="00F41F92" w:rsidRPr="00915158" w:rsidRDefault="00F41F92" w:rsidP="00F41F92">
      <w:pPr>
        <w:rPr>
          <w:lang w:val="en-GB"/>
        </w:rPr>
      </w:pP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The size of ova and cysts is an important identifying feature of many parasites.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Size can be determined with an eyepiece micrometer. The calibration of the microscope is carried out as follows: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 xml:space="preserve">Equipment required includes an eyepiece micrometer and a stage micrometer. 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1</w:t>
      </w:r>
      <w:r w:rsidRPr="00915158">
        <w:rPr>
          <w:lang w:val="en-GB"/>
        </w:rPr>
        <w:tab/>
        <w:t>The eyepiece scale is divided in 100 small divisions.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2</w:t>
      </w:r>
      <w:r w:rsidRPr="00915158">
        <w:rPr>
          <w:lang w:val="en-GB"/>
        </w:rPr>
        <w:tab/>
        <w:t xml:space="preserve">The stage micrometer scale extends over 1mm being divided in 0.1 mm </w:t>
      </w:r>
      <w:r w:rsidRPr="00915158">
        <w:rPr>
          <w:lang w:val="en-GB"/>
        </w:rPr>
        <w:br/>
      </w:r>
      <w:r w:rsidRPr="00915158">
        <w:rPr>
          <w:lang w:val="en-GB"/>
        </w:rPr>
        <w:tab/>
        <w:t>divisions, each being divided again in 0.01 mm divisions.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3</w:t>
      </w:r>
      <w:r w:rsidRPr="00915158">
        <w:rPr>
          <w:lang w:val="en-GB"/>
        </w:rPr>
        <w:tab/>
        <w:t xml:space="preserve">Insert the eyepiece graticule to the eyepiece, and replace into the </w:t>
      </w:r>
      <w:r w:rsidRPr="00915158">
        <w:rPr>
          <w:lang w:val="en-GB"/>
        </w:rPr>
        <w:br/>
      </w:r>
      <w:r w:rsidRPr="00915158">
        <w:rPr>
          <w:lang w:val="en-GB"/>
        </w:rPr>
        <w:tab/>
        <w:t>microscope.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4</w:t>
      </w:r>
      <w:r w:rsidRPr="00915158">
        <w:rPr>
          <w:lang w:val="en-GB"/>
        </w:rPr>
        <w:tab/>
        <w:t>Place the stage micrometer on the microscope stage.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5</w:t>
      </w:r>
      <w:r w:rsidRPr="00915158">
        <w:rPr>
          <w:lang w:val="en-GB"/>
        </w:rPr>
        <w:tab/>
        <w:t>Focus the low-power objective on the stage scale.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6</w:t>
      </w:r>
      <w:r w:rsidRPr="00915158">
        <w:rPr>
          <w:lang w:val="en-GB"/>
        </w:rPr>
        <w:tab/>
        <w:t>Adjust the eyepiece and stage scales until they are parallel and overlap.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7</w:t>
      </w:r>
      <w:r w:rsidRPr="00915158">
        <w:rPr>
          <w:lang w:val="en-GB"/>
        </w:rPr>
        <w:tab/>
        <w:t xml:space="preserve">Note the number of eyepiece divisions and its corresponding stage </w:t>
      </w:r>
      <w:r w:rsidRPr="00915158">
        <w:rPr>
          <w:lang w:val="en-GB"/>
        </w:rPr>
        <w:br/>
      </w:r>
      <w:r w:rsidRPr="00915158">
        <w:rPr>
          <w:lang w:val="en-GB"/>
        </w:rPr>
        <w:tab/>
        <w:t>measurement, e.g. 10 eyepiece divisions = 0.20 mm on the stage scale.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8</w:t>
      </w:r>
      <w:r w:rsidRPr="00915158">
        <w:rPr>
          <w:lang w:val="en-GB"/>
        </w:rPr>
        <w:tab/>
        <w:t>Calculate value of one eyepiece division as follows: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ab/>
        <w:t>10 eyepiece divisions = 0.20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ab/>
        <w:t>1 eyepiece division   = 0.20/10 = 0.020 mm = 20 µm</w:t>
      </w:r>
    </w:p>
    <w:p w:rsidR="00F41F92" w:rsidRPr="00915158" w:rsidRDefault="00F41F92" w:rsidP="00F41F92">
      <w:pPr>
        <w:rPr>
          <w:lang w:val="en-GB"/>
        </w:rPr>
      </w:pPr>
      <w:r w:rsidRPr="00915158">
        <w:rPr>
          <w:lang w:val="en-GB"/>
        </w:rPr>
        <w:t>9</w:t>
      </w:r>
      <w:r w:rsidRPr="00915158">
        <w:rPr>
          <w:lang w:val="en-GB"/>
        </w:rPr>
        <w:tab/>
        <w:t xml:space="preserve">Repeat from #5 with each objective, noting and recording the reading from </w:t>
      </w:r>
      <w:r w:rsidRPr="00915158">
        <w:rPr>
          <w:lang w:val="en-GB"/>
        </w:rPr>
        <w:br/>
      </w:r>
      <w:r w:rsidRPr="00915158">
        <w:rPr>
          <w:lang w:val="en-GB"/>
        </w:rPr>
        <w:tab/>
        <w:t>each.</w:t>
      </w:r>
    </w:p>
    <w:p w:rsidR="00F41F92" w:rsidRPr="00915158" w:rsidRDefault="00F41F92" w:rsidP="00F41F92">
      <w:pPr>
        <w:ind w:left="709" w:hanging="709"/>
        <w:rPr>
          <w:lang w:val="en-GB"/>
        </w:rPr>
      </w:pPr>
      <w:r w:rsidRPr="00915158">
        <w:rPr>
          <w:lang w:val="en-GB"/>
        </w:rPr>
        <w:t>10</w:t>
      </w:r>
      <w:r w:rsidRPr="00915158">
        <w:rPr>
          <w:lang w:val="en-GB"/>
        </w:rPr>
        <w:tab/>
        <w:t>Calibration need only be done once for each microscope, and its objectives and eye pieces.</w:t>
      </w:r>
      <w:bookmarkStart w:id="0" w:name="_GoBack"/>
      <w:bookmarkEnd w:id="0"/>
    </w:p>
    <w:sectPr w:rsidR="00F41F92" w:rsidRPr="00915158" w:rsidSect="006C64AF">
      <w:pgSz w:w="12240" w:h="15840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D75" w:rsidRDefault="002E2D75" w:rsidP="00D219C6">
      <w:r>
        <w:separator/>
      </w:r>
    </w:p>
  </w:endnote>
  <w:endnote w:type="continuationSeparator" w:id="0">
    <w:p w:rsidR="002E2D75" w:rsidRDefault="002E2D75" w:rsidP="00D21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axisEF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EF Light">
    <w:altName w:val="Arial"/>
    <w:panose1 w:val="00000000000000000000"/>
    <w:charset w:val="00"/>
    <w:family w:val="modern"/>
    <w:notTrueType/>
    <w:pitch w:val="variable"/>
    <w:sig w:usb0="00000001" w:usb1="50002048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470" w:rsidRPr="00983F5B" w:rsidRDefault="00DD0470" w:rsidP="00052E0B">
    <w:pPr>
      <w:pStyle w:val="Footer"/>
      <w:jc w:val="center"/>
      <w:rPr>
        <w:rFonts w:ascii="Century Gothic" w:hAnsi="Century Gothic"/>
        <w:lang w:val="en-GB"/>
      </w:rPr>
    </w:pPr>
    <w:r w:rsidRPr="00983F5B">
      <w:rPr>
        <w:rFonts w:ascii="Century Gothic" w:hAnsi="Century Gothic"/>
        <w:lang w:val="en-GB"/>
      </w:rPr>
      <w:t xml:space="preserve">Page </w:t>
    </w:r>
    <w:r w:rsidRPr="00983F5B">
      <w:rPr>
        <w:rFonts w:ascii="Century Gothic" w:hAnsi="Century Gothic"/>
        <w:lang w:val="en-GB"/>
      </w:rPr>
      <w:fldChar w:fldCharType="begin"/>
    </w:r>
    <w:r w:rsidRPr="00983F5B">
      <w:rPr>
        <w:rFonts w:ascii="Century Gothic" w:hAnsi="Century Gothic"/>
        <w:lang w:val="en-GB"/>
      </w:rPr>
      <w:instrText xml:space="preserve"> PAGE  \* Arabic  \* MERGEFORMAT </w:instrText>
    </w:r>
    <w:r w:rsidRPr="00983F5B">
      <w:rPr>
        <w:rFonts w:ascii="Century Gothic" w:hAnsi="Century Gothic"/>
        <w:lang w:val="en-GB"/>
      </w:rPr>
      <w:fldChar w:fldCharType="separate"/>
    </w:r>
    <w:r w:rsidR="006D46AB">
      <w:rPr>
        <w:rFonts w:ascii="Century Gothic" w:hAnsi="Century Gothic"/>
        <w:noProof/>
        <w:lang w:val="en-GB"/>
      </w:rPr>
      <w:t>2</w:t>
    </w:r>
    <w:r w:rsidRPr="00983F5B">
      <w:rPr>
        <w:rFonts w:ascii="Century Gothic" w:hAnsi="Century Gothic"/>
        <w:lang w:val="en-GB"/>
      </w:rPr>
      <w:fldChar w:fldCharType="end"/>
    </w:r>
    <w:r w:rsidRPr="00983F5B">
      <w:rPr>
        <w:rFonts w:ascii="Century Gothic" w:hAnsi="Century Gothic"/>
        <w:lang w:val="en-GB"/>
      </w:rPr>
      <w:t xml:space="preserve"> of </w:t>
    </w:r>
    <w:r w:rsidRPr="00983F5B">
      <w:rPr>
        <w:rFonts w:ascii="Century Gothic" w:hAnsi="Century Gothic"/>
        <w:lang w:val="en-GB"/>
      </w:rPr>
      <w:fldChar w:fldCharType="begin"/>
    </w:r>
    <w:r w:rsidRPr="00983F5B">
      <w:rPr>
        <w:rFonts w:ascii="Century Gothic" w:hAnsi="Century Gothic"/>
        <w:lang w:val="en-GB"/>
      </w:rPr>
      <w:instrText xml:space="preserve"> NUMPAGES  \* Arabic  \* MERGEFORMAT </w:instrText>
    </w:r>
    <w:r w:rsidRPr="00983F5B">
      <w:rPr>
        <w:rFonts w:ascii="Century Gothic" w:hAnsi="Century Gothic"/>
        <w:lang w:val="en-GB"/>
      </w:rPr>
      <w:fldChar w:fldCharType="separate"/>
    </w:r>
    <w:r w:rsidR="006D46AB">
      <w:rPr>
        <w:rFonts w:ascii="Century Gothic" w:hAnsi="Century Gothic"/>
        <w:noProof/>
        <w:lang w:val="en-GB"/>
      </w:rPr>
      <w:t>22</w:t>
    </w:r>
    <w:r w:rsidRPr="00983F5B">
      <w:rPr>
        <w:rFonts w:ascii="Century Gothic" w:hAnsi="Century Gothic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D75" w:rsidRDefault="002E2D75" w:rsidP="00D219C6">
      <w:r>
        <w:separator/>
      </w:r>
    </w:p>
  </w:footnote>
  <w:footnote w:type="continuationSeparator" w:id="0">
    <w:p w:rsidR="002E2D75" w:rsidRDefault="002E2D75" w:rsidP="00D21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6AB" w:rsidRPr="006D46AB" w:rsidRDefault="006D46AB">
    <w:pPr>
      <w:rPr>
        <w:sz w:val="20"/>
      </w:rPr>
    </w:pPr>
    <w:r w:rsidRPr="006D46AB">
      <w:rPr>
        <w:sz w:val="20"/>
      </w:rPr>
      <w:drawing>
        <wp:anchor distT="0" distB="0" distL="114300" distR="114300" simplePos="0" relativeHeight="251659264" behindDoc="0" locked="0" layoutInCell="1" allowOverlap="1" wp14:anchorId="0D2C170F" wp14:editId="6F7D4215">
          <wp:simplePos x="0" y="0"/>
          <wp:positionH relativeFrom="margin">
            <wp:posOffset>-529590</wp:posOffset>
          </wp:positionH>
          <wp:positionV relativeFrom="margin">
            <wp:posOffset>-2410460</wp:posOffset>
          </wp:positionV>
          <wp:extent cx="1520190" cy="734695"/>
          <wp:effectExtent l="0" t="0" r="3810" b="8255"/>
          <wp:wrapSquare wrapText="bothSides"/>
          <wp:docPr id="8" name="Picture 8" descr="TGHN logo digital_letterhead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GHN logo digital_letterhead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46AB"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5D2334" wp14:editId="171C5A3C">
              <wp:simplePos x="0" y="0"/>
              <wp:positionH relativeFrom="margin">
                <wp:posOffset>2930525</wp:posOffset>
              </wp:positionH>
              <wp:positionV relativeFrom="paragraph">
                <wp:posOffset>-93980</wp:posOffset>
              </wp:positionV>
              <wp:extent cx="3067050" cy="525145"/>
              <wp:effectExtent l="0" t="0" r="0" b="825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6AB" w:rsidRDefault="006D46AB" w:rsidP="006D46AB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This template document has been made freely available by COMRU-AHC.  Please adapt it as necessary for your work, and reference Global Health Laboratories when using this document, when possible.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230.75pt;margin-top:-7.4pt;width:241.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" stroked="f">
              <v:textbox>
                <w:txbxContent>
                  <w:p w:rsidR="006D46AB" w:rsidRDefault="006D46AB" w:rsidP="006D46AB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This template document has been made freely available by COMRU-AHC.  Please adapt it as necessary for your work, and reference Global Health Laboratories when using this document, when possible.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D46AB" w:rsidRPr="006D46AB" w:rsidRDefault="006D46AB">
    <w:pPr>
      <w:rPr>
        <w:sz w:val="20"/>
      </w:rPr>
    </w:pPr>
  </w:p>
  <w:p w:rsidR="006D46AB" w:rsidRPr="006D46AB" w:rsidRDefault="006D46AB">
    <w:pPr>
      <w:rPr>
        <w:sz w:val="20"/>
      </w:rPr>
    </w:pPr>
  </w:p>
  <w:tbl>
    <w:tblPr>
      <w:tblStyle w:val="TableGrid"/>
      <w:tblW w:w="10207" w:type="dxa"/>
      <w:jc w:val="center"/>
      <w:tblInd w:w="-743" w:type="dxa"/>
      <w:tblLook w:val="04A0" w:firstRow="1" w:lastRow="0" w:firstColumn="1" w:lastColumn="0" w:noHBand="0" w:noVBand="1"/>
    </w:tblPr>
    <w:tblGrid>
      <w:gridCol w:w="2551"/>
      <w:gridCol w:w="2552"/>
      <w:gridCol w:w="2552"/>
      <w:gridCol w:w="2552"/>
    </w:tblGrid>
    <w:tr w:rsidR="00FB0AA3" w:rsidRPr="00983F5B" w:rsidTr="00FB0AA3">
      <w:trPr>
        <w:trHeight w:val="293"/>
        <w:jc w:val="center"/>
      </w:trPr>
      <w:tc>
        <w:tcPr>
          <w:tcW w:w="10207" w:type="dxa"/>
          <w:gridSpan w:val="4"/>
          <w:shd w:val="clear" w:color="auto" w:fill="000000" w:themeFill="text1"/>
        </w:tcPr>
        <w:p w:rsidR="00FB0AA3" w:rsidRPr="00983F5B" w:rsidRDefault="00FB0AA3" w:rsidP="005551B7">
          <w:pPr>
            <w:pStyle w:val="HeaderEven"/>
            <w:pBdr>
              <w:bottom w:val="none" w:sz="0" w:space="0" w:color="auto"/>
            </w:pBdr>
            <w:spacing w:beforeLines="40" w:before="96" w:afterLines="40" w:after="96"/>
            <w:jc w:val="center"/>
            <w:rPr>
              <w:rFonts w:ascii="Century Gothic" w:hAnsi="Century Gothic" w:cs="Arial"/>
              <w:smallCaps/>
              <w:color w:val="auto"/>
              <w:sz w:val="24"/>
              <w:szCs w:val="24"/>
              <w:lang w:val="en-GB"/>
            </w:rPr>
          </w:pPr>
          <w:r w:rsidRPr="00983F5B">
            <w:rPr>
              <w:rFonts w:ascii="Century Gothic" w:hAnsi="Century Gothic" w:cs="Arial"/>
              <w:smallCaps/>
              <w:color w:val="FFFFFF" w:themeColor="background1"/>
              <w:sz w:val="24"/>
              <w:szCs w:val="24"/>
              <w:lang w:val="en-GB"/>
            </w:rPr>
            <w:t>Microbiology Standard Operating Procedure</w:t>
          </w:r>
        </w:p>
      </w:tc>
    </w:tr>
    <w:tr w:rsidR="00FB0AA3" w:rsidRPr="00983F5B" w:rsidTr="0073622C">
      <w:trPr>
        <w:trHeight w:val="292"/>
        <w:jc w:val="center"/>
      </w:trPr>
      <w:tc>
        <w:tcPr>
          <w:tcW w:w="10207" w:type="dxa"/>
          <w:gridSpan w:val="4"/>
          <w:tcBorders>
            <w:bottom w:val="single" w:sz="4" w:space="0" w:color="auto"/>
          </w:tcBorders>
        </w:tcPr>
        <w:p w:rsidR="00FB0AA3" w:rsidRPr="00983F5B" w:rsidRDefault="00E1421D" w:rsidP="00AB694E">
          <w:pPr>
            <w:pStyle w:val="HeaderEven"/>
            <w:pBdr>
              <w:bottom w:val="none" w:sz="0" w:space="0" w:color="auto"/>
            </w:pBdr>
            <w:spacing w:beforeLines="40" w:before="96" w:afterLines="40" w:after="96"/>
            <w:jc w:val="center"/>
            <w:rPr>
              <w:rFonts w:ascii="Century Gothic" w:hAnsi="Century Gothic" w:cs="Arial"/>
              <w:smallCaps/>
              <w:color w:val="auto"/>
              <w:sz w:val="24"/>
              <w:szCs w:val="24"/>
              <w:lang w:val="en-GB"/>
            </w:rPr>
          </w:pPr>
          <w:r>
            <w:rPr>
              <w:rFonts w:ascii="Century Gothic" w:eastAsia="Times New Roman" w:hAnsi="Century Gothic" w:cs="Arial"/>
              <w:smallCaps/>
              <w:color w:val="auto"/>
              <w:sz w:val="24"/>
              <w:szCs w:val="24"/>
              <w:lang w:val="en-GB"/>
            </w:rPr>
            <w:t>Investigation of faecal specimens for parasites</w:t>
          </w:r>
        </w:p>
      </w:tc>
    </w:tr>
    <w:tr w:rsidR="00FB0AA3" w:rsidRPr="00983F5B" w:rsidTr="0073622C">
      <w:trPr>
        <w:jc w:val="center"/>
      </w:trPr>
      <w:tc>
        <w:tcPr>
          <w:tcW w:w="2551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</w:tcPr>
        <w:p w:rsidR="00DD0470" w:rsidRPr="00983F5B" w:rsidRDefault="00DD0470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Document number</w:t>
          </w:r>
          <w:r w:rsidR="0073622C" w:rsidRPr="00983F5B">
            <w:rPr>
              <w:rFonts w:ascii="Century Gothic" w:hAnsi="Century Gothic"/>
              <w:sz w:val="16"/>
              <w:szCs w:val="16"/>
              <w:lang w:val="en-GB"/>
            </w:rPr>
            <w:t xml:space="preserve"> / version</w:t>
          </w: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:</w:t>
          </w:r>
        </w:p>
      </w:tc>
      <w:tc>
        <w:tcPr>
          <w:tcW w:w="255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DD0470" w:rsidRPr="00983F5B" w:rsidRDefault="00DD0470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  <w:tc>
        <w:tcPr>
          <w:tcW w:w="255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DD0470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Reviewed and approved by:</w:t>
          </w:r>
        </w:p>
      </w:tc>
      <w:tc>
        <w:tcPr>
          <w:tcW w:w="255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</w:tcPr>
        <w:p w:rsidR="00DD0470" w:rsidRPr="00983F5B" w:rsidRDefault="00DD0470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</w:tr>
    <w:tr w:rsidR="00FB0AA3" w:rsidRPr="00983F5B" w:rsidTr="0073622C">
      <w:trPr>
        <w:jc w:val="center"/>
      </w:trPr>
      <w:tc>
        <w:tcPr>
          <w:tcW w:w="2551" w:type="dxa"/>
          <w:tcBorders>
            <w:top w:val="nil"/>
            <w:left w:val="single" w:sz="4" w:space="0" w:color="auto"/>
            <w:bottom w:val="nil"/>
            <w:right w:val="nil"/>
          </w:tcBorders>
        </w:tcPr>
        <w:p w:rsidR="00DD0470" w:rsidRPr="00983F5B" w:rsidRDefault="00DD0470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Replaces document: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DD0470" w:rsidRPr="00983F5B" w:rsidRDefault="00DD0470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DD0470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Date of original: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DD0470" w:rsidRPr="00983F5B" w:rsidRDefault="00E1421D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>
            <w:rPr>
              <w:rFonts w:ascii="Century Gothic" w:hAnsi="Century Gothic"/>
              <w:sz w:val="16"/>
              <w:szCs w:val="16"/>
              <w:lang w:val="en-GB"/>
            </w:rPr>
            <w:t>Sep-2005</w:t>
          </w:r>
        </w:p>
      </w:tc>
    </w:tr>
    <w:tr w:rsidR="00FB0AA3" w:rsidRPr="00983F5B" w:rsidTr="0073622C">
      <w:trPr>
        <w:jc w:val="center"/>
      </w:trPr>
      <w:tc>
        <w:tcPr>
          <w:tcW w:w="2551" w:type="dxa"/>
          <w:tcBorders>
            <w:top w:val="nil"/>
            <w:left w:val="single" w:sz="4" w:space="0" w:color="auto"/>
            <w:bottom w:val="nil"/>
            <w:right w:val="nil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Applies to: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FB0AA3" w:rsidRPr="00983F5B" w:rsidRDefault="00E1421D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>
            <w:rPr>
              <w:rFonts w:ascii="Century Gothic" w:hAnsi="Century Gothic"/>
              <w:sz w:val="16"/>
              <w:szCs w:val="16"/>
              <w:lang w:val="en-GB"/>
            </w:rPr>
            <w:t>Microbiology laboratory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Date of revision: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</w:tr>
    <w:tr w:rsidR="00FB0AA3" w:rsidRPr="00983F5B" w:rsidTr="0073622C">
      <w:trPr>
        <w:jc w:val="center"/>
      </w:trPr>
      <w:tc>
        <w:tcPr>
          <w:tcW w:w="2551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</w:tcPr>
        <w:p w:rsidR="00FB0AA3" w:rsidRPr="00983F5B" w:rsidRDefault="006D46AB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>
            <w:rPr>
              <w:rFonts w:ascii="Century Gothic" w:hAnsi="Century Gothic"/>
              <w:sz w:val="16"/>
              <w:szCs w:val="16"/>
              <w:lang w:val="en-GB"/>
            </w:rPr>
            <w:t>Modified</w:t>
          </w:r>
          <w:r w:rsidR="00FB0AA3" w:rsidRPr="00983F5B">
            <w:rPr>
              <w:rFonts w:ascii="Century Gothic" w:hAnsi="Century Gothic"/>
              <w:sz w:val="16"/>
              <w:szCs w:val="16"/>
              <w:lang w:val="en-GB"/>
            </w:rPr>
            <w:t xml:space="preserve"> by:</w:t>
          </w:r>
        </w:p>
      </w:tc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  <w:r w:rsidRPr="00983F5B">
            <w:rPr>
              <w:rFonts w:ascii="Century Gothic" w:hAnsi="Century Gothic"/>
              <w:sz w:val="16"/>
              <w:szCs w:val="16"/>
              <w:lang w:val="en-GB"/>
            </w:rPr>
            <w:t>Date for review:</w:t>
          </w:r>
        </w:p>
      </w:tc>
      <w:tc>
        <w:tcPr>
          <w:tcW w:w="2552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</w:tcPr>
        <w:p w:rsidR="00FB0AA3" w:rsidRPr="00983F5B" w:rsidRDefault="00FB0AA3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  <w:lang w:val="en-GB"/>
            </w:rPr>
          </w:pPr>
        </w:p>
      </w:tc>
    </w:tr>
  </w:tbl>
  <w:p w:rsidR="00E211A0" w:rsidRPr="006D46AB" w:rsidRDefault="00E211A0" w:rsidP="00D219C6">
    <w:pPr>
      <w:pStyle w:val="Header"/>
      <w:rPr>
        <w:sz w:val="20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6AB" w:rsidRPr="006D46AB" w:rsidRDefault="006D46AB">
    <w:pPr>
      <w:rPr>
        <w:sz w:val="20"/>
      </w:rPr>
    </w:pPr>
    <w:r w:rsidRPr="006D46AB">
      <w:rPr>
        <w:sz w:val="20"/>
      </w:rPr>
      <w:drawing>
        <wp:anchor distT="0" distB="0" distL="114300" distR="114300" simplePos="0" relativeHeight="251662336" behindDoc="0" locked="0" layoutInCell="1" allowOverlap="1" wp14:anchorId="42EFB34D" wp14:editId="00BE5E27">
          <wp:simplePos x="0" y="0"/>
          <wp:positionH relativeFrom="margin">
            <wp:posOffset>-520065</wp:posOffset>
          </wp:positionH>
          <wp:positionV relativeFrom="margin">
            <wp:posOffset>-1874520</wp:posOffset>
          </wp:positionV>
          <wp:extent cx="1520190" cy="734695"/>
          <wp:effectExtent l="0" t="0" r="3810" b="8255"/>
          <wp:wrapSquare wrapText="bothSides"/>
          <wp:docPr id="9" name="Picture 9" descr="TGHN logo digital_letterhead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GHN logo digital_letterhead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46AB"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E1E90D" wp14:editId="26B683EC">
              <wp:simplePos x="0" y="0"/>
              <wp:positionH relativeFrom="margin">
                <wp:posOffset>2940050</wp:posOffset>
              </wp:positionH>
              <wp:positionV relativeFrom="paragraph">
                <wp:posOffset>-84455</wp:posOffset>
              </wp:positionV>
              <wp:extent cx="3067050" cy="525145"/>
              <wp:effectExtent l="0" t="0" r="0" b="82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46AB" w:rsidRDefault="006D46AB" w:rsidP="006D46AB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This template document has been made freely available by COMRU-AHC.  Please adapt it as necessary for your work, and reference Global Health Laboratories when using this document, when possible.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31.5pt;margin-top:-6.65pt;width:241.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VygwIAABY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" stroked="f">
              <v:textbox>
                <w:txbxContent>
                  <w:p w:rsidR="006D46AB" w:rsidRDefault="006D46AB" w:rsidP="006D46AB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This template document has been made freely available by COMRU-AHC.  Please adapt it as necessary for your work, and reference Global Health Laboratories when using this document, when possible.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D46AB" w:rsidRPr="006D46AB" w:rsidRDefault="006D46AB">
    <w:pPr>
      <w:rPr>
        <w:sz w:val="20"/>
      </w:rPr>
    </w:pPr>
  </w:p>
  <w:p w:rsidR="006D46AB" w:rsidRPr="006D46AB" w:rsidRDefault="006D46AB">
    <w:pPr>
      <w:rPr>
        <w:sz w:val="20"/>
      </w:rPr>
    </w:pPr>
  </w:p>
  <w:tbl>
    <w:tblPr>
      <w:tblStyle w:val="TableGrid"/>
      <w:tblW w:w="10207" w:type="dxa"/>
      <w:jc w:val="center"/>
      <w:tblInd w:w="-743" w:type="dxa"/>
      <w:tblLook w:val="04A0" w:firstRow="1" w:lastRow="0" w:firstColumn="1" w:lastColumn="0" w:noHBand="0" w:noVBand="1"/>
    </w:tblPr>
    <w:tblGrid>
      <w:gridCol w:w="2551"/>
      <w:gridCol w:w="2552"/>
      <w:gridCol w:w="2552"/>
      <w:gridCol w:w="2552"/>
    </w:tblGrid>
    <w:tr w:rsidR="00515D26" w:rsidRPr="00FB0AA3" w:rsidTr="00FB0AA3">
      <w:trPr>
        <w:trHeight w:val="293"/>
        <w:jc w:val="center"/>
      </w:trPr>
      <w:tc>
        <w:tcPr>
          <w:tcW w:w="10207" w:type="dxa"/>
          <w:gridSpan w:val="4"/>
          <w:shd w:val="clear" w:color="auto" w:fill="000000" w:themeFill="text1"/>
        </w:tcPr>
        <w:p w:rsidR="00515D26" w:rsidRPr="00405ACC" w:rsidRDefault="00515D26" w:rsidP="00405ACC">
          <w:pPr>
            <w:pStyle w:val="HeaderEven"/>
            <w:pBdr>
              <w:bottom w:val="none" w:sz="0" w:space="0" w:color="auto"/>
            </w:pBdr>
            <w:spacing w:beforeLines="40" w:before="96" w:afterLines="40" w:after="96"/>
            <w:jc w:val="center"/>
            <w:rPr>
              <w:rFonts w:ascii="Century Gothic" w:hAnsi="Century Gothic" w:cs="Arial"/>
              <w:smallCaps/>
              <w:color w:val="auto"/>
              <w:sz w:val="24"/>
              <w:szCs w:val="24"/>
              <w:lang w:val="en-GB"/>
            </w:rPr>
          </w:pPr>
          <w:r w:rsidRPr="00405ACC">
            <w:rPr>
              <w:rFonts w:ascii="Century Gothic" w:hAnsi="Century Gothic" w:cs="Arial"/>
              <w:smallCaps/>
              <w:color w:val="FFFFFF" w:themeColor="background1"/>
              <w:sz w:val="24"/>
              <w:szCs w:val="24"/>
              <w:lang w:val="en-GB"/>
            </w:rPr>
            <w:t>Microbiology Standard Operating Procedure</w:t>
          </w:r>
        </w:p>
      </w:tc>
    </w:tr>
    <w:tr w:rsidR="00515D26" w:rsidRPr="00FB0AA3" w:rsidTr="00515D26">
      <w:trPr>
        <w:trHeight w:val="292"/>
        <w:jc w:val="center"/>
      </w:trPr>
      <w:tc>
        <w:tcPr>
          <w:tcW w:w="10207" w:type="dxa"/>
          <w:gridSpan w:val="4"/>
          <w:tcBorders>
            <w:bottom w:val="single" w:sz="4" w:space="0" w:color="auto"/>
          </w:tcBorders>
        </w:tcPr>
        <w:p w:rsidR="00515D26" w:rsidRPr="00405ACC" w:rsidRDefault="003C1A78" w:rsidP="00405ACC">
          <w:pPr>
            <w:pStyle w:val="HeaderEven"/>
            <w:pBdr>
              <w:bottom w:val="none" w:sz="0" w:space="0" w:color="auto"/>
            </w:pBdr>
            <w:spacing w:beforeLines="40" w:before="96" w:afterLines="40" w:after="96"/>
            <w:jc w:val="center"/>
            <w:rPr>
              <w:rFonts w:ascii="Century Gothic" w:hAnsi="Century Gothic" w:cs="Arial"/>
              <w:smallCaps/>
              <w:color w:val="auto"/>
              <w:lang w:val="en-GB"/>
            </w:rPr>
          </w:pPr>
          <w:r>
            <w:rPr>
              <w:rFonts w:ascii="Century Gothic" w:eastAsia="Times New Roman" w:hAnsi="Century Gothic" w:cs="Arial"/>
              <w:smallCaps/>
              <w:color w:val="auto"/>
              <w:sz w:val="24"/>
              <w:szCs w:val="24"/>
              <w:lang w:val="en-GB"/>
            </w:rPr>
            <w:t>Investigation of faecal specimens for parasites</w:t>
          </w:r>
        </w:p>
      </w:tc>
    </w:tr>
    <w:tr w:rsidR="00515D26" w:rsidRPr="00FB0AA3" w:rsidTr="00515D26">
      <w:trPr>
        <w:jc w:val="center"/>
      </w:trPr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515D26" w:rsidRPr="00D219C6" w:rsidRDefault="00515D26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</w:rPr>
          </w:pPr>
          <w:r w:rsidRPr="00D219C6">
            <w:rPr>
              <w:rFonts w:ascii="Century Gothic" w:hAnsi="Century Gothic"/>
              <w:sz w:val="16"/>
              <w:szCs w:val="16"/>
            </w:rPr>
            <w:t>Document number / version:</w:t>
          </w:r>
        </w:p>
      </w:tc>
      <w:tc>
        <w:tcPr>
          <w:tcW w:w="2552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515D26" w:rsidRPr="00D219C6" w:rsidRDefault="00515D26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</w:rPr>
          </w:pPr>
        </w:p>
      </w:tc>
      <w:tc>
        <w:tcPr>
          <w:tcW w:w="2552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</w:tcPr>
        <w:p w:rsidR="00515D26" w:rsidRPr="00D219C6" w:rsidRDefault="00515D26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</w:rPr>
          </w:pPr>
        </w:p>
      </w:tc>
      <w:tc>
        <w:tcPr>
          <w:tcW w:w="255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515D26" w:rsidRPr="00D219C6" w:rsidRDefault="00515D26" w:rsidP="005551B7">
          <w:pPr>
            <w:pStyle w:val="Header"/>
            <w:spacing w:before="40" w:after="40" w:line="240" w:lineRule="auto"/>
            <w:rPr>
              <w:rFonts w:ascii="Century Gothic" w:hAnsi="Century Gothic"/>
              <w:sz w:val="16"/>
              <w:szCs w:val="16"/>
            </w:rPr>
          </w:pPr>
        </w:p>
      </w:tc>
    </w:tr>
  </w:tbl>
  <w:p w:rsidR="00515D26" w:rsidRPr="006D46AB" w:rsidRDefault="00515D26" w:rsidP="00D219C6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94B"/>
    <w:multiLevelType w:val="hybridMultilevel"/>
    <w:tmpl w:val="ECAAC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C372E"/>
    <w:multiLevelType w:val="hybridMultilevel"/>
    <w:tmpl w:val="4A3A2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337FE"/>
    <w:multiLevelType w:val="multilevel"/>
    <w:tmpl w:val="36C0C1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10BC2007"/>
    <w:multiLevelType w:val="hybridMultilevel"/>
    <w:tmpl w:val="B3AA0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A0902"/>
    <w:multiLevelType w:val="hybridMultilevel"/>
    <w:tmpl w:val="A6267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D09FC"/>
    <w:multiLevelType w:val="hybridMultilevel"/>
    <w:tmpl w:val="549C5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C5F3D"/>
    <w:multiLevelType w:val="hybridMultilevel"/>
    <w:tmpl w:val="F82C3A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A1E15"/>
    <w:multiLevelType w:val="hybridMultilevel"/>
    <w:tmpl w:val="74E4E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374EC"/>
    <w:multiLevelType w:val="hybridMultilevel"/>
    <w:tmpl w:val="057CC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10B4C"/>
    <w:multiLevelType w:val="hybridMultilevel"/>
    <w:tmpl w:val="19D09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37940"/>
    <w:multiLevelType w:val="hybridMultilevel"/>
    <w:tmpl w:val="C71AC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E13A35"/>
    <w:multiLevelType w:val="hybridMultilevel"/>
    <w:tmpl w:val="9C784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  <w:num w:numId="12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21D"/>
    <w:rsid w:val="00015EEA"/>
    <w:rsid w:val="0003682A"/>
    <w:rsid w:val="00037FFC"/>
    <w:rsid w:val="00050523"/>
    <w:rsid w:val="00052E0B"/>
    <w:rsid w:val="0006065D"/>
    <w:rsid w:val="00061722"/>
    <w:rsid w:val="00070AE6"/>
    <w:rsid w:val="00096E23"/>
    <w:rsid w:val="000C0E7D"/>
    <w:rsid w:val="000D2BED"/>
    <w:rsid w:val="000D7864"/>
    <w:rsid w:val="000E42C8"/>
    <w:rsid w:val="000F6C11"/>
    <w:rsid w:val="00111502"/>
    <w:rsid w:val="00111AE6"/>
    <w:rsid w:val="0013305D"/>
    <w:rsid w:val="00135CD7"/>
    <w:rsid w:val="001416B4"/>
    <w:rsid w:val="001541D0"/>
    <w:rsid w:val="00155726"/>
    <w:rsid w:val="00165CAB"/>
    <w:rsid w:val="001B1A3E"/>
    <w:rsid w:val="001B2E44"/>
    <w:rsid w:val="001C0D5D"/>
    <w:rsid w:val="001C12FA"/>
    <w:rsid w:val="001C5564"/>
    <w:rsid w:val="001C78DD"/>
    <w:rsid w:val="001D2051"/>
    <w:rsid w:val="001D3069"/>
    <w:rsid w:val="001D6CA5"/>
    <w:rsid w:val="001E1CF0"/>
    <w:rsid w:val="001F1FEE"/>
    <w:rsid w:val="00205001"/>
    <w:rsid w:val="00220450"/>
    <w:rsid w:val="002207D4"/>
    <w:rsid w:val="00222C33"/>
    <w:rsid w:val="002378B2"/>
    <w:rsid w:val="0025785F"/>
    <w:rsid w:val="00262CF1"/>
    <w:rsid w:val="002720F6"/>
    <w:rsid w:val="00273D46"/>
    <w:rsid w:val="00287235"/>
    <w:rsid w:val="002A0619"/>
    <w:rsid w:val="002B0540"/>
    <w:rsid w:val="002D069B"/>
    <w:rsid w:val="002E2D75"/>
    <w:rsid w:val="002E454D"/>
    <w:rsid w:val="002E4C34"/>
    <w:rsid w:val="002F06D7"/>
    <w:rsid w:val="00314692"/>
    <w:rsid w:val="003403D8"/>
    <w:rsid w:val="00342E28"/>
    <w:rsid w:val="00374FCE"/>
    <w:rsid w:val="003767D9"/>
    <w:rsid w:val="003A7A8A"/>
    <w:rsid w:val="003B0007"/>
    <w:rsid w:val="003C1A78"/>
    <w:rsid w:val="003E203F"/>
    <w:rsid w:val="003E3668"/>
    <w:rsid w:val="00405ACC"/>
    <w:rsid w:val="00421AF2"/>
    <w:rsid w:val="00427502"/>
    <w:rsid w:val="00430CFE"/>
    <w:rsid w:val="00445588"/>
    <w:rsid w:val="00462099"/>
    <w:rsid w:val="00477C4D"/>
    <w:rsid w:val="004927F0"/>
    <w:rsid w:val="004A35E6"/>
    <w:rsid w:val="004A37C2"/>
    <w:rsid w:val="004B5F42"/>
    <w:rsid w:val="004C4C4B"/>
    <w:rsid w:val="004C61F8"/>
    <w:rsid w:val="004F3932"/>
    <w:rsid w:val="00515D26"/>
    <w:rsid w:val="005551B7"/>
    <w:rsid w:val="005A1B55"/>
    <w:rsid w:val="005B251F"/>
    <w:rsid w:val="005C1B9E"/>
    <w:rsid w:val="005C3BF6"/>
    <w:rsid w:val="005C3D10"/>
    <w:rsid w:val="005E02C6"/>
    <w:rsid w:val="005E2910"/>
    <w:rsid w:val="005E2D38"/>
    <w:rsid w:val="005F0326"/>
    <w:rsid w:val="00607BC3"/>
    <w:rsid w:val="00632989"/>
    <w:rsid w:val="006538C8"/>
    <w:rsid w:val="0066384A"/>
    <w:rsid w:val="006C1DB9"/>
    <w:rsid w:val="006C2596"/>
    <w:rsid w:val="006C4703"/>
    <w:rsid w:val="006C64AF"/>
    <w:rsid w:val="006D46AB"/>
    <w:rsid w:val="006D6F46"/>
    <w:rsid w:val="00726755"/>
    <w:rsid w:val="00726F4D"/>
    <w:rsid w:val="0073622C"/>
    <w:rsid w:val="00736DAA"/>
    <w:rsid w:val="00742CE0"/>
    <w:rsid w:val="00752301"/>
    <w:rsid w:val="0075617E"/>
    <w:rsid w:val="0078032C"/>
    <w:rsid w:val="00791C76"/>
    <w:rsid w:val="00797C0E"/>
    <w:rsid w:val="007C4674"/>
    <w:rsid w:val="007C7203"/>
    <w:rsid w:val="007C7A94"/>
    <w:rsid w:val="007D1756"/>
    <w:rsid w:val="007F2718"/>
    <w:rsid w:val="008166E6"/>
    <w:rsid w:val="00827B5D"/>
    <w:rsid w:val="00831B07"/>
    <w:rsid w:val="0084638E"/>
    <w:rsid w:val="00855C54"/>
    <w:rsid w:val="00872110"/>
    <w:rsid w:val="0089285A"/>
    <w:rsid w:val="008A6CEE"/>
    <w:rsid w:val="008E11C5"/>
    <w:rsid w:val="008E5800"/>
    <w:rsid w:val="008E5D4C"/>
    <w:rsid w:val="008E6A1F"/>
    <w:rsid w:val="008F1617"/>
    <w:rsid w:val="008F61D3"/>
    <w:rsid w:val="00906307"/>
    <w:rsid w:val="00912418"/>
    <w:rsid w:val="00915158"/>
    <w:rsid w:val="00922F74"/>
    <w:rsid w:val="00924A58"/>
    <w:rsid w:val="00935C33"/>
    <w:rsid w:val="00960FDF"/>
    <w:rsid w:val="009756B5"/>
    <w:rsid w:val="00983F5B"/>
    <w:rsid w:val="009914D3"/>
    <w:rsid w:val="00993F92"/>
    <w:rsid w:val="00995876"/>
    <w:rsid w:val="009C3E57"/>
    <w:rsid w:val="009C6903"/>
    <w:rsid w:val="009D0D80"/>
    <w:rsid w:val="009E09F2"/>
    <w:rsid w:val="009E0BD9"/>
    <w:rsid w:val="009E56D7"/>
    <w:rsid w:val="009F1B07"/>
    <w:rsid w:val="009F1BFD"/>
    <w:rsid w:val="009F789F"/>
    <w:rsid w:val="00A254A7"/>
    <w:rsid w:val="00A2682E"/>
    <w:rsid w:val="00A53E7A"/>
    <w:rsid w:val="00A77A6A"/>
    <w:rsid w:val="00AB52D9"/>
    <w:rsid w:val="00AB694E"/>
    <w:rsid w:val="00AD588F"/>
    <w:rsid w:val="00AD5A01"/>
    <w:rsid w:val="00AE2510"/>
    <w:rsid w:val="00AE5F3A"/>
    <w:rsid w:val="00AF12A5"/>
    <w:rsid w:val="00AF160A"/>
    <w:rsid w:val="00B00ECA"/>
    <w:rsid w:val="00B25A72"/>
    <w:rsid w:val="00B424F6"/>
    <w:rsid w:val="00B46F3F"/>
    <w:rsid w:val="00B537CE"/>
    <w:rsid w:val="00B62444"/>
    <w:rsid w:val="00B62F56"/>
    <w:rsid w:val="00B649F2"/>
    <w:rsid w:val="00B83471"/>
    <w:rsid w:val="00B867F2"/>
    <w:rsid w:val="00B9151B"/>
    <w:rsid w:val="00B9205A"/>
    <w:rsid w:val="00BA6835"/>
    <w:rsid w:val="00BB34D4"/>
    <w:rsid w:val="00BC2277"/>
    <w:rsid w:val="00BE36AF"/>
    <w:rsid w:val="00BE7408"/>
    <w:rsid w:val="00BF4A7B"/>
    <w:rsid w:val="00C00018"/>
    <w:rsid w:val="00C1672F"/>
    <w:rsid w:val="00C31A43"/>
    <w:rsid w:val="00C34CBB"/>
    <w:rsid w:val="00C356FF"/>
    <w:rsid w:val="00C42B46"/>
    <w:rsid w:val="00C722E9"/>
    <w:rsid w:val="00C76BBB"/>
    <w:rsid w:val="00C77F65"/>
    <w:rsid w:val="00C8267C"/>
    <w:rsid w:val="00C8635F"/>
    <w:rsid w:val="00C93FFD"/>
    <w:rsid w:val="00C95944"/>
    <w:rsid w:val="00C96A91"/>
    <w:rsid w:val="00CB272A"/>
    <w:rsid w:val="00CC3DE3"/>
    <w:rsid w:val="00CE0DAA"/>
    <w:rsid w:val="00CE139C"/>
    <w:rsid w:val="00CF334D"/>
    <w:rsid w:val="00D023B5"/>
    <w:rsid w:val="00D12562"/>
    <w:rsid w:val="00D219C6"/>
    <w:rsid w:val="00D24538"/>
    <w:rsid w:val="00D31D48"/>
    <w:rsid w:val="00D33D8C"/>
    <w:rsid w:val="00D36001"/>
    <w:rsid w:val="00D63435"/>
    <w:rsid w:val="00D7649D"/>
    <w:rsid w:val="00D863FC"/>
    <w:rsid w:val="00D93B2C"/>
    <w:rsid w:val="00DB76DC"/>
    <w:rsid w:val="00DC5A51"/>
    <w:rsid w:val="00DD0470"/>
    <w:rsid w:val="00E065D7"/>
    <w:rsid w:val="00E1421D"/>
    <w:rsid w:val="00E211A0"/>
    <w:rsid w:val="00E26FA7"/>
    <w:rsid w:val="00E33B1E"/>
    <w:rsid w:val="00E35181"/>
    <w:rsid w:val="00E4499C"/>
    <w:rsid w:val="00E45F25"/>
    <w:rsid w:val="00E47BDE"/>
    <w:rsid w:val="00E50BF5"/>
    <w:rsid w:val="00E61A32"/>
    <w:rsid w:val="00E65C0B"/>
    <w:rsid w:val="00E73FFE"/>
    <w:rsid w:val="00E770E0"/>
    <w:rsid w:val="00E8035A"/>
    <w:rsid w:val="00E96D99"/>
    <w:rsid w:val="00EA1783"/>
    <w:rsid w:val="00EC4233"/>
    <w:rsid w:val="00ED071C"/>
    <w:rsid w:val="00ED1662"/>
    <w:rsid w:val="00ED1ABE"/>
    <w:rsid w:val="00EE18F6"/>
    <w:rsid w:val="00EF0D32"/>
    <w:rsid w:val="00EF0F49"/>
    <w:rsid w:val="00EF2949"/>
    <w:rsid w:val="00F20F73"/>
    <w:rsid w:val="00F306FC"/>
    <w:rsid w:val="00F3392A"/>
    <w:rsid w:val="00F3705A"/>
    <w:rsid w:val="00F41F92"/>
    <w:rsid w:val="00F756EF"/>
    <w:rsid w:val="00F92AC0"/>
    <w:rsid w:val="00F92ACC"/>
    <w:rsid w:val="00FB0AA3"/>
    <w:rsid w:val="00FB346B"/>
    <w:rsid w:val="00FB51CD"/>
    <w:rsid w:val="00FC759D"/>
    <w:rsid w:val="00F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Helvetica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Hyperlink" w:uiPriority="99"/>
    <w:lsdException w:name="Strong" w:uiPriority="22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9C6"/>
    <w:pPr>
      <w:spacing w:after="120" w:line="276" w:lineRule="auto"/>
      <w:jc w:val="both"/>
    </w:pPr>
    <w:rPr>
      <w:rFonts w:ascii="Arial Narrow" w:hAnsi="Arial Narrow" w:cs="Arial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219C6"/>
    <w:pPr>
      <w:keepNext/>
      <w:widowControl w:val="0"/>
      <w:numPr>
        <w:numId w:val="1"/>
      </w:numPr>
      <w:autoSpaceDE w:val="0"/>
      <w:autoSpaceDN w:val="0"/>
      <w:adjustRightInd w:val="0"/>
      <w:ind w:left="431" w:hanging="431"/>
      <w:outlineLvl w:val="0"/>
    </w:pPr>
    <w:rPr>
      <w:rFonts w:ascii="Century Gothic" w:eastAsia="Times New Roman" w:hAnsi="Century Gothic"/>
      <w:b/>
    </w:rPr>
  </w:style>
  <w:style w:type="paragraph" w:styleId="Heading2">
    <w:name w:val="heading 2"/>
    <w:basedOn w:val="Normal"/>
    <w:next w:val="Normal"/>
    <w:link w:val="Heading2Char"/>
    <w:qFormat/>
    <w:rsid w:val="00D219C6"/>
    <w:pPr>
      <w:keepNext/>
      <w:widowControl w:val="0"/>
      <w:numPr>
        <w:ilvl w:val="1"/>
        <w:numId w:val="1"/>
      </w:numPr>
      <w:autoSpaceDE w:val="0"/>
      <w:autoSpaceDN w:val="0"/>
      <w:adjustRightInd w:val="0"/>
      <w:outlineLvl w:val="1"/>
    </w:pPr>
    <w:rPr>
      <w:rFonts w:ascii="Century Gothic" w:eastAsia="Times New Roman" w:hAnsi="Century Gothic"/>
      <w:b/>
      <w:i/>
    </w:rPr>
  </w:style>
  <w:style w:type="paragraph" w:styleId="Heading3">
    <w:name w:val="heading 3"/>
    <w:basedOn w:val="Normal"/>
    <w:next w:val="Normal"/>
    <w:link w:val="Heading3Char"/>
    <w:qFormat/>
    <w:rsid w:val="00D219C6"/>
    <w:pPr>
      <w:keepNext/>
      <w:widowControl w:val="0"/>
      <w:numPr>
        <w:ilvl w:val="2"/>
        <w:numId w:val="1"/>
      </w:numPr>
      <w:autoSpaceDE w:val="0"/>
      <w:autoSpaceDN w:val="0"/>
      <w:adjustRightInd w:val="0"/>
      <w:outlineLvl w:val="2"/>
    </w:pPr>
    <w:rPr>
      <w:rFonts w:ascii="Century Gothic" w:eastAsia="Times New Roman" w:hAnsi="Century Gothic"/>
      <w:b/>
      <w:i/>
      <w:szCs w:val="24"/>
    </w:rPr>
  </w:style>
  <w:style w:type="paragraph" w:styleId="Heading4">
    <w:name w:val="heading 4"/>
    <w:basedOn w:val="Normal"/>
    <w:next w:val="Normal"/>
    <w:link w:val="Heading4Char"/>
    <w:qFormat/>
    <w:rsid w:val="00D219C6"/>
    <w:pPr>
      <w:keepNext/>
      <w:numPr>
        <w:ilvl w:val="3"/>
        <w:numId w:val="1"/>
      </w:numPr>
      <w:spacing w:before="240" w:after="60"/>
      <w:outlineLvl w:val="3"/>
    </w:pPr>
    <w:rPr>
      <w:rFonts w:ascii="Century Gothic" w:eastAsia="Times New Roman" w:hAnsi="Century Gothic"/>
      <w:b/>
      <w:bCs/>
      <w:i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05ACC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C6AAB"/>
    <w:pPr>
      <w:keepNext/>
      <w:numPr>
        <w:ilvl w:val="5"/>
        <w:numId w:val="1"/>
      </w:numPr>
      <w:outlineLvl w:val="5"/>
    </w:pPr>
    <w:rPr>
      <w:rFonts w:ascii="Garamond" w:eastAsia="Times New Roman" w:hAnsi="Garamond" w:cs="Times"/>
      <w:b/>
      <w:bCs/>
      <w:sz w:val="32"/>
      <w:szCs w:val="24"/>
      <w:lang w:val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05AC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05AC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05AC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  <w:ind w:left="850"/>
    </w:pPr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B91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3416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1963B0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rsid w:val="001C156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16"/>
      <w:szCs w:val="16"/>
    </w:rPr>
  </w:style>
  <w:style w:type="character" w:customStyle="1" w:styleId="BodyText3Char">
    <w:name w:val="Body Text 3 Char"/>
    <w:link w:val="BodyText3"/>
    <w:rsid w:val="001C156B"/>
    <w:rPr>
      <w:rFonts w:ascii="Courier New" w:eastAsia="Times New Roman" w:hAnsi="Courier New" w:cs="Courier New"/>
      <w:sz w:val="16"/>
      <w:szCs w:val="16"/>
    </w:rPr>
  </w:style>
  <w:style w:type="character" w:customStyle="1" w:styleId="Heading4Char">
    <w:name w:val="Heading 4 Char"/>
    <w:link w:val="Heading4"/>
    <w:rsid w:val="00D219C6"/>
    <w:rPr>
      <w:rFonts w:ascii="Century Gothic" w:eastAsia="Times New Roman" w:hAnsi="Century Gothic" w:cs="Arial"/>
      <w:b/>
      <w:bCs/>
      <w:i/>
      <w:sz w:val="24"/>
      <w:szCs w:val="24"/>
      <w:lang w:val="en-US" w:eastAsia="en-US"/>
    </w:rPr>
  </w:style>
  <w:style w:type="character" w:customStyle="1" w:styleId="Heading6Char">
    <w:name w:val="Heading 6 Char"/>
    <w:link w:val="Heading6"/>
    <w:rsid w:val="001C6AAB"/>
    <w:rPr>
      <w:rFonts w:ascii="Garamond" w:eastAsia="Times New Roman" w:hAnsi="Garamond" w:cs="Times"/>
      <w:b/>
      <w:bCs/>
      <w:sz w:val="32"/>
      <w:szCs w:val="24"/>
      <w:lang w:eastAsia="en-US"/>
    </w:rPr>
  </w:style>
  <w:style w:type="character" w:customStyle="1" w:styleId="Heading1Char">
    <w:name w:val="Heading 1 Char"/>
    <w:link w:val="Heading1"/>
    <w:rsid w:val="00D219C6"/>
    <w:rPr>
      <w:rFonts w:ascii="Century Gothic" w:eastAsia="Times New Roman" w:hAnsi="Century Gothic" w:cs="Arial"/>
      <w:b/>
      <w:sz w:val="24"/>
      <w:lang w:val="en-US" w:eastAsia="en-US"/>
    </w:rPr>
  </w:style>
  <w:style w:type="character" w:customStyle="1" w:styleId="Heading2Char">
    <w:name w:val="Heading 2 Char"/>
    <w:link w:val="Heading2"/>
    <w:rsid w:val="00D219C6"/>
    <w:rPr>
      <w:rFonts w:ascii="Century Gothic" w:eastAsia="Times New Roman" w:hAnsi="Century Gothic" w:cs="Arial"/>
      <w:b/>
      <w:i/>
      <w:sz w:val="24"/>
      <w:lang w:val="en-US" w:eastAsia="en-US"/>
    </w:rPr>
  </w:style>
  <w:style w:type="character" w:customStyle="1" w:styleId="Heading3Char">
    <w:name w:val="Heading 3 Char"/>
    <w:link w:val="Heading3"/>
    <w:rsid w:val="00D219C6"/>
    <w:rPr>
      <w:rFonts w:ascii="Century Gothic" w:eastAsia="Times New Roman" w:hAnsi="Century Gothic" w:cs="Arial"/>
      <w:b/>
      <w:i/>
      <w:sz w:val="24"/>
      <w:szCs w:val="24"/>
      <w:lang w:val="en-US" w:eastAsia="en-US"/>
    </w:rPr>
  </w:style>
  <w:style w:type="character" w:customStyle="1" w:styleId="FooterChar">
    <w:name w:val="Footer Char"/>
    <w:link w:val="Footer"/>
    <w:rsid w:val="001C6AAB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1C6AAB"/>
    <w:rPr>
      <w:rFonts w:ascii="Tahoma" w:hAnsi="Tahoma" w:cs="Tahoma"/>
      <w:sz w:val="16"/>
      <w:szCs w:val="16"/>
      <w:lang w:val="en-AU"/>
    </w:rPr>
  </w:style>
  <w:style w:type="character" w:styleId="CommentReference">
    <w:name w:val="annotation reference"/>
    <w:uiPriority w:val="99"/>
    <w:unhideWhenUsed/>
    <w:rsid w:val="001C6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AAB"/>
    <w:rPr>
      <w:rFonts w:ascii="Times New Roman" w:eastAsia="Times New Roman" w:hAnsi="Times New Roman" w:cs="Times New Roman"/>
      <w:sz w:val="20"/>
      <w:lang w:val="en-GB"/>
    </w:rPr>
  </w:style>
  <w:style w:type="character" w:customStyle="1" w:styleId="CommentTextChar">
    <w:name w:val="Comment Text Char"/>
    <w:link w:val="CommentText"/>
    <w:uiPriority w:val="99"/>
    <w:rsid w:val="001C6AA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C6AA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1C6AAB"/>
    <w:rPr>
      <w:rFonts w:ascii="Times New Roman" w:eastAsia="Times New Roman" w:hAnsi="Times New Roman" w:cs="Times New Roman"/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1C6AAB"/>
    <w:pPr>
      <w:ind w:left="720"/>
    </w:pPr>
    <w:rPr>
      <w:rFonts w:ascii="Times New Roman" w:eastAsia="Times New Roman" w:hAnsi="Times New Roman" w:cs="Times New Roman"/>
      <w:szCs w:val="24"/>
      <w:lang w:val="en-GB"/>
    </w:rPr>
  </w:style>
  <w:style w:type="paragraph" w:styleId="BodyText2">
    <w:name w:val="Body Text 2"/>
    <w:basedOn w:val="Normal"/>
    <w:link w:val="BodyText2Char"/>
    <w:rsid w:val="00E770E0"/>
    <w:pPr>
      <w:spacing w:line="480" w:lineRule="auto"/>
    </w:pPr>
  </w:style>
  <w:style w:type="character" w:customStyle="1" w:styleId="BodyText2Char">
    <w:name w:val="Body Text 2 Char"/>
    <w:link w:val="BodyText2"/>
    <w:rsid w:val="00E770E0"/>
    <w:rPr>
      <w:sz w:val="24"/>
      <w:lang w:val="en-AU"/>
    </w:rPr>
  </w:style>
  <w:style w:type="paragraph" w:customStyle="1" w:styleId="HeaderEven">
    <w:name w:val="Header Even"/>
    <w:basedOn w:val="NoSpacing"/>
    <w:rsid w:val="00E47BDE"/>
    <w:pPr>
      <w:pBdr>
        <w:bottom w:val="single" w:sz="4" w:space="1" w:color="4F81BD" w:themeColor="accent1"/>
      </w:pBdr>
    </w:pPr>
    <w:rPr>
      <w:rFonts w:asciiTheme="minorHAnsi" w:eastAsiaTheme="minorHAnsi" w:hAnsiTheme="minorHAnsi" w:cs="Times New Roman"/>
      <w:b/>
      <w:color w:val="1F497D" w:themeColor="text2"/>
      <w:sz w:val="20"/>
      <w:lang w:val="en-US" w:eastAsia="ja-JP"/>
    </w:rPr>
  </w:style>
  <w:style w:type="paragraph" w:styleId="NoSpacing">
    <w:name w:val="No Spacing"/>
    <w:uiPriority w:val="1"/>
    <w:qFormat/>
    <w:rsid w:val="00E47BDE"/>
    <w:rPr>
      <w:sz w:val="24"/>
      <w:lang w:val="en-AU" w:eastAsia="en-US"/>
    </w:rPr>
  </w:style>
  <w:style w:type="character" w:styleId="Strong">
    <w:name w:val="Strong"/>
    <w:uiPriority w:val="22"/>
    <w:qFormat/>
    <w:rsid w:val="00314692"/>
    <w:rPr>
      <w:rFonts w:ascii="Times New Roman" w:hAnsi="Times New Roman" w:cs="Arial"/>
      <w:b w:val="0"/>
      <w:i w:val="0"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31469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semiHidden/>
    <w:rsid w:val="00405ACC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405ACC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405ACC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405ACC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customStyle="1" w:styleId="HPAbodytextTable">
    <w:name w:val="HPA body text Table"/>
    <w:basedOn w:val="Normal"/>
    <w:qFormat/>
    <w:rsid w:val="00096E23"/>
    <w:pPr>
      <w:autoSpaceDE w:val="0"/>
      <w:autoSpaceDN w:val="0"/>
      <w:adjustRightInd w:val="0"/>
      <w:spacing w:before="60" w:line="240" w:lineRule="auto"/>
      <w:jc w:val="left"/>
    </w:pPr>
    <w:rPr>
      <w:rFonts w:ascii="PraxisEF-Light" w:eastAsia="Times New Roman" w:hAnsi="PraxisEF-Light" w:cs="PraxisEF-Light"/>
      <w:sz w:val="20"/>
      <w:szCs w:val="28"/>
      <w:lang w:val="en-GB" w:eastAsia="en-GB"/>
    </w:rPr>
  </w:style>
  <w:style w:type="paragraph" w:customStyle="1" w:styleId="HPAreportsub">
    <w:name w:val="HPA report sub"/>
    <w:basedOn w:val="Normal"/>
    <w:rsid w:val="001D2051"/>
    <w:pPr>
      <w:keepNext/>
      <w:spacing w:before="120" w:line="240" w:lineRule="auto"/>
      <w:jc w:val="left"/>
      <w:outlineLvl w:val="1"/>
    </w:pPr>
    <w:rPr>
      <w:rFonts w:ascii="PraxisEF Light" w:eastAsia="Times New Roman" w:hAnsi="PraxisEF Light" w:cs="Times New Roman"/>
      <w:b/>
      <w:bCs/>
      <w:lang w:val="en-GB"/>
    </w:rPr>
  </w:style>
  <w:style w:type="paragraph" w:customStyle="1" w:styleId="HPABodytext">
    <w:name w:val="HPA Body text"/>
    <w:basedOn w:val="Normal"/>
    <w:link w:val="HPABodytextChar"/>
    <w:rsid w:val="001D2051"/>
    <w:pPr>
      <w:autoSpaceDE w:val="0"/>
      <w:autoSpaceDN w:val="0"/>
      <w:adjustRightInd w:val="0"/>
      <w:spacing w:before="60" w:line="240" w:lineRule="auto"/>
      <w:jc w:val="left"/>
    </w:pPr>
    <w:rPr>
      <w:rFonts w:ascii="PraxisEF-Light" w:eastAsia="Times New Roman" w:hAnsi="PraxisEF-Light" w:cs="PraxisEF-Light"/>
      <w:szCs w:val="28"/>
      <w:lang w:val="en-GB" w:eastAsia="en-GB"/>
    </w:rPr>
  </w:style>
  <w:style w:type="character" w:customStyle="1" w:styleId="HPABodytextChar">
    <w:name w:val="HPA Body text Char"/>
    <w:basedOn w:val="DefaultParagraphFont"/>
    <w:link w:val="HPABodytext"/>
    <w:rsid w:val="001D2051"/>
    <w:rPr>
      <w:rFonts w:ascii="PraxisEF-Light" w:eastAsia="Times New Roman" w:hAnsi="PraxisEF-Light" w:cs="PraxisEF-Light"/>
      <w:sz w:val="24"/>
      <w:szCs w:val="28"/>
    </w:rPr>
  </w:style>
  <w:style w:type="character" w:customStyle="1" w:styleId="highlight">
    <w:name w:val="highlight"/>
    <w:basedOn w:val="DefaultParagraphFont"/>
    <w:rsid w:val="00975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Helvetica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Hyperlink" w:uiPriority="99"/>
    <w:lsdException w:name="Strong" w:uiPriority="22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9C6"/>
    <w:pPr>
      <w:spacing w:after="120" w:line="276" w:lineRule="auto"/>
      <w:jc w:val="both"/>
    </w:pPr>
    <w:rPr>
      <w:rFonts w:ascii="Arial Narrow" w:hAnsi="Arial Narrow" w:cs="Arial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219C6"/>
    <w:pPr>
      <w:keepNext/>
      <w:widowControl w:val="0"/>
      <w:numPr>
        <w:numId w:val="1"/>
      </w:numPr>
      <w:autoSpaceDE w:val="0"/>
      <w:autoSpaceDN w:val="0"/>
      <w:adjustRightInd w:val="0"/>
      <w:ind w:left="431" w:hanging="431"/>
      <w:outlineLvl w:val="0"/>
    </w:pPr>
    <w:rPr>
      <w:rFonts w:ascii="Century Gothic" w:eastAsia="Times New Roman" w:hAnsi="Century Gothic"/>
      <w:b/>
    </w:rPr>
  </w:style>
  <w:style w:type="paragraph" w:styleId="Heading2">
    <w:name w:val="heading 2"/>
    <w:basedOn w:val="Normal"/>
    <w:next w:val="Normal"/>
    <w:link w:val="Heading2Char"/>
    <w:qFormat/>
    <w:rsid w:val="00D219C6"/>
    <w:pPr>
      <w:keepNext/>
      <w:widowControl w:val="0"/>
      <w:numPr>
        <w:ilvl w:val="1"/>
        <w:numId w:val="1"/>
      </w:numPr>
      <w:autoSpaceDE w:val="0"/>
      <w:autoSpaceDN w:val="0"/>
      <w:adjustRightInd w:val="0"/>
      <w:outlineLvl w:val="1"/>
    </w:pPr>
    <w:rPr>
      <w:rFonts w:ascii="Century Gothic" w:eastAsia="Times New Roman" w:hAnsi="Century Gothic"/>
      <w:b/>
      <w:i/>
    </w:rPr>
  </w:style>
  <w:style w:type="paragraph" w:styleId="Heading3">
    <w:name w:val="heading 3"/>
    <w:basedOn w:val="Normal"/>
    <w:next w:val="Normal"/>
    <w:link w:val="Heading3Char"/>
    <w:qFormat/>
    <w:rsid w:val="00D219C6"/>
    <w:pPr>
      <w:keepNext/>
      <w:widowControl w:val="0"/>
      <w:numPr>
        <w:ilvl w:val="2"/>
        <w:numId w:val="1"/>
      </w:numPr>
      <w:autoSpaceDE w:val="0"/>
      <w:autoSpaceDN w:val="0"/>
      <w:adjustRightInd w:val="0"/>
      <w:outlineLvl w:val="2"/>
    </w:pPr>
    <w:rPr>
      <w:rFonts w:ascii="Century Gothic" w:eastAsia="Times New Roman" w:hAnsi="Century Gothic"/>
      <w:b/>
      <w:i/>
      <w:szCs w:val="24"/>
    </w:rPr>
  </w:style>
  <w:style w:type="paragraph" w:styleId="Heading4">
    <w:name w:val="heading 4"/>
    <w:basedOn w:val="Normal"/>
    <w:next w:val="Normal"/>
    <w:link w:val="Heading4Char"/>
    <w:qFormat/>
    <w:rsid w:val="00D219C6"/>
    <w:pPr>
      <w:keepNext/>
      <w:numPr>
        <w:ilvl w:val="3"/>
        <w:numId w:val="1"/>
      </w:numPr>
      <w:spacing w:before="240" w:after="60"/>
      <w:outlineLvl w:val="3"/>
    </w:pPr>
    <w:rPr>
      <w:rFonts w:ascii="Century Gothic" w:eastAsia="Times New Roman" w:hAnsi="Century Gothic"/>
      <w:b/>
      <w:bCs/>
      <w:i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05ACC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C6AAB"/>
    <w:pPr>
      <w:keepNext/>
      <w:numPr>
        <w:ilvl w:val="5"/>
        <w:numId w:val="1"/>
      </w:numPr>
      <w:outlineLvl w:val="5"/>
    </w:pPr>
    <w:rPr>
      <w:rFonts w:ascii="Garamond" w:eastAsia="Times New Roman" w:hAnsi="Garamond" w:cs="Times"/>
      <w:b/>
      <w:bCs/>
      <w:sz w:val="32"/>
      <w:szCs w:val="24"/>
      <w:lang w:val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05ACC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05ACC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05ACC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autoSpaceDE w:val="0"/>
      <w:autoSpaceDN w:val="0"/>
      <w:adjustRightInd w:val="0"/>
      <w:ind w:left="850"/>
    </w:pPr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B91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3416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1963B0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rsid w:val="001C156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16"/>
      <w:szCs w:val="16"/>
    </w:rPr>
  </w:style>
  <w:style w:type="character" w:customStyle="1" w:styleId="BodyText3Char">
    <w:name w:val="Body Text 3 Char"/>
    <w:link w:val="BodyText3"/>
    <w:rsid w:val="001C156B"/>
    <w:rPr>
      <w:rFonts w:ascii="Courier New" w:eastAsia="Times New Roman" w:hAnsi="Courier New" w:cs="Courier New"/>
      <w:sz w:val="16"/>
      <w:szCs w:val="16"/>
    </w:rPr>
  </w:style>
  <w:style w:type="character" w:customStyle="1" w:styleId="Heading4Char">
    <w:name w:val="Heading 4 Char"/>
    <w:link w:val="Heading4"/>
    <w:rsid w:val="00D219C6"/>
    <w:rPr>
      <w:rFonts w:ascii="Century Gothic" w:eastAsia="Times New Roman" w:hAnsi="Century Gothic" w:cs="Arial"/>
      <w:b/>
      <w:bCs/>
      <w:i/>
      <w:sz w:val="24"/>
      <w:szCs w:val="24"/>
      <w:lang w:val="en-US" w:eastAsia="en-US"/>
    </w:rPr>
  </w:style>
  <w:style w:type="character" w:customStyle="1" w:styleId="Heading6Char">
    <w:name w:val="Heading 6 Char"/>
    <w:link w:val="Heading6"/>
    <w:rsid w:val="001C6AAB"/>
    <w:rPr>
      <w:rFonts w:ascii="Garamond" w:eastAsia="Times New Roman" w:hAnsi="Garamond" w:cs="Times"/>
      <w:b/>
      <w:bCs/>
      <w:sz w:val="32"/>
      <w:szCs w:val="24"/>
      <w:lang w:eastAsia="en-US"/>
    </w:rPr>
  </w:style>
  <w:style w:type="character" w:customStyle="1" w:styleId="Heading1Char">
    <w:name w:val="Heading 1 Char"/>
    <w:link w:val="Heading1"/>
    <w:rsid w:val="00D219C6"/>
    <w:rPr>
      <w:rFonts w:ascii="Century Gothic" w:eastAsia="Times New Roman" w:hAnsi="Century Gothic" w:cs="Arial"/>
      <w:b/>
      <w:sz w:val="24"/>
      <w:lang w:val="en-US" w:eastAsia="en-US"/>
    </w:rPr>
  </w:style>
  <w:style w:type="character" w:customStyle="1" w:styleId="Heading2Char">
    <w:name w:val="Heading 2 Char"/>
    <w:link w:val="Heading2"/>
    <w:rsid w:val="00D219C6"/>
    <w:rPr>
      <w:rFonts w:ascii="Century Gothic" w:eastAsia="Times New Roman" w:hAnsi="Century Gothic" w:cs="Arial"/>
      <w:b/>
      <w:i/>
      <w:sz w:val="24"/>
      <w:lang w:val="en-US" w:eastAsia="en-US"/>
    </w:rPr>
  </w:style>
  <w:style w:type="character" w:customStyle="1" w:styleId="Heading3Char">
    <w:name w:val="Heading 3 Char"/>
    <w:link w:val="Heading3"/>
    <w:rsid w:val="00D219C6"/>
    <w:rPr>
      <w:rFonts w:ascii="Century Gothic" w:eastAsia="Times New Roman" w:hAnsi="Century Gothic" w:cs="Arial"/>
      <w:b/>
      <w:i/>
      <w:sz w:val="24"/>
      <w:szCs w:val="24"/>
      <w:lang w:val="en-US" w:eastAsia="en-US"/>
    </w:rPr>
  </w:style>
  <w:style w:type="character" w:customStyle="1" w:styleId="FooterChar">
    <w:name w:val="Footer Char"/>
    <w:link w:val="Footer"/>
    <w:rsid w:val="001C6AAB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1C6AAB"/>
    <w:rPr>
      <w:rFonts w:ascii="Tahoma" w:hAnsi="Tahoma" w:cs="Tahoma"/>
      <w:sz w:val="16"/>
      <w:szCs w:val="16"/>
      <w:lang w:val="en-AU"/>
    </w:rPr>
  </w:style>
  <w:style w:type="character" w:styleId="CommentReference">
    <w:name w:val="annotation reference"/>
    <w:uiPriority w:val="99"/>
    <w:unhideWhenUsed/>
    <w:rsid w:val="001C6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AAB"/>
    <w:rPr>
      <w:rFonts w:ascii="Times New Roman" w:eastAsia="Times New Roman" w:hAnsi="Times New Roman" w:cs="Times New Roman"/>
      <w:sz w:val="20"/>
      <w:lang w:val="en-GB"/>
    </w:rPr>
  </w:style>
  <w:style w:type="character" w:customStyle="1" w:styleId="CommentTextChar">
    <w:name w:val="Comment Text Char"/>
    <w:link w:val="CommentText"/>
    <w:uiPriority w:val="99"/>
    <w:rsid w:val="001C6AA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C6AA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1C6AAB"/>
    <w:rPr>
      <w:rFonts w:ascii="Times New Roman" w:eastAsia="Times New Roman" w:hAnsi="Times New Roman" w:cs="Times New Roman"/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1C6AAB"/>
    <w:pPr>
      <w:ind w:left="720"/>
    </w:pPr>
    <w:rPr>
      <w:rFonts w:ascii="Times New Roman" w:eastAsia="Times New Roman" w:hAnsi="Times New Roman" w:cs="Times New Roman"/>
      <w:szCs w:val="24"/>
      <w:lang w:val="en-GB"/>
    </w:rPr>
  </w:style>
  <w:style w:type="paragraph" w:styleId="BodyText2">
    <w:name w:val="Body Text 2"/>
    <w:basedOn w:val="Normal"/>
    <w:link w:val="BodyText2Char"/>
    <w:rsid w:val="00E770E0"/>
    <w:pPr>
      <w:spacing w:line="480" w:lineRule="auto"/>
    </w:pPr>
  </w:style>
  <w:style w:type="character" w:customStyle="1" w:styleId="BodyText2Char">
    <w:name w:val="Body Text 2 Char"/>
    <w:link w:val="BodyText2"/>
    <w:rsid w:val="00E770E0"/>
    <w:rPr>
      <w:sz w:val="24"/>
      <w:lang w:val="en-AU"/>
    </w:rPr>
  </w:style>
  <w:style w:type="paragraph" w:customStyle="1" w:styleId="HeaderEven">
    <w:name w:val="Header Even"/>
    <w:basedOn w:val="NoSpacing"/>
    <w:rsid w:val="00E47BDE"/>
    <w:pPr>
      <w:pBdr>
        <w:bottom w:val="single" w:sz="4" w:space="1" w:color="4F81BD" w:themeColor="accent1"/>
      </w:pBdr>
    </w:pPr>
    <w:rPr>
      <w:rFonts w:asciiTheme="minorHAnsi" w:eastAsiaTheme="minorHAnsi" w:hAnsiTheme="minorHAnsi" w:cs="Times New Roman"/>
      <w:b/>
      <w:color w:val="1F497D" w:themeColor="text2"/>
      <w:sz w:val="20"/>
      <w:lang w:val="en-US" w:eastAsia="ja-JP"/>
    </w:rPr>
  </w:style>
  <w:style w:type="paragraph" w:styleId="NoSpacing">
    <w:name w:val="No Spacing"/>
    <w:uiPriority w:val="1"/>
    <w:qFormat/>
    <w:rsid w:val="00E47BDE"/>
    <w:rPr>
      <w:sz w:val="24"/>
      <w:lang w:val="en-AU" w:eastAsia="en-US"/>
    </w:rPr>
  </w:style>
  <w:style w:type="character" w:styleId="Strong">
    <w:name w:val="Strong"/>
    <w:uiPriority w:val="22"/>
    <w:qFormat/>
    <w:rsid w:val="00314692"/>
    <w:rPr>
      <w:rFonts w:ascii="Times New Roman" w:hAnsi="Times New Roman" w:cs="Arial"/>
      <w:b w:val="0"/>
      <w:i w:val="0"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31469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semiHidden/>
    <w:rsid w:val="00405ACC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405ACC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405ACC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405ACC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customStyle="1" w:styleId="HPAbodytextTable">
    <w:name w:val="HPA body text Table"/>
    <w:basedOn w:val="Normal"/>
    <w:qFormat/>
    <w:rsid w:val="00096E23"/>
    <w:pPr>
      <w:autoSpaceDE w:val="0"/>
      <w:autoSpaceDN w:val="0"/>
      <w:adjustRightInd w:val="0"/>
      <w:spacing w:before="60" w:line="240" w:lineRule="auto"/>
      <w:jc w:val="left"/>
    </w:pPr>
    <w:rPr>
      <w:rFonts w:ascii="PraxisEF-Light" w:eastAsia="Times New Roman" w:hAnsi="PraxisEF-Light" w:cs="PraxisEF-Light"/>
      <w:sz w:val="20"/>
      <w:szCs w:val="28"/>
      <w:lang w:val="en-GB" w:eastAsia="en-GB"/>
    </w:rPr>
  </w:style>
  <w:style w:type="paragraph" w:customStyle="1" w:styleId="HPAreportsub">
    <w:name w:val="HPA report sub"/>
    <w:basedOn w:val="Normal"/>
    <w:rsid w:val="001D2051"/>
    <w:pPr>
      <w:keepNext/>
      <w:spacing w:before="120" w:line="240" w:lineRule="auto"/>
      <w:jc w:val="left"/>
      <w:outlineLvl w:val="1"/>
    </w:pPr>
    <w:rPr>
      <w:rFonts w:ascii="PraxisEF Light" w:eastAsia="Times New Roman" w:hAnsi="PraxisEF Light" w:cs="Times New Roman"/>
      <w:b/>
      <w:bCs/>
      <w:lang w:val="en-GB"/>
    </w:rPr>
  </w:style>
  <w:style w:type="paragraph" w:customStyle="1" w:styleId="HPABodytext">
    <w:name w:val="HPA Body text"/>
    <w:basedOn w:val="Normal"/>
    <w:link w:val="HPABodytextChar"/>
    <w:rsid w:val="001D2051"/>
    <w:pPr>
      <w:autoSpaceDE w:val="0"/>
      <w:autoSpaceDN w:val="0"/>
      <w:adjustRightInd w:val="0"/>
      <w:spacing w:before="60" w:line="240" w:lineRule="auto"/>
      <w:jc w:val="left"/>
    </w:pPr>
    <w:rPr>
      <w:rFonts w:ascii="PraxisEF-Light" w:eastAsia="Times New Roman" w:hAnsi="PraxisEF-Light" w:cs="PraxisEF-Light"/>
      <w:szCs w:val="28"/>
      <w:lang w:val="en-GB" w:eastAsia="en-GB"/>
    </w:rPr>
  </w:style>
  <w:style w:type="character" w:customStyle="1" w:styleId="HPABodytextChar">
    <w:name w:val="HPA Body text Char"/>
    <w:basedOn w:val="DefaultParagraphFont"/>
    <w:link w:val="HPABodytext"/>
    <w:rsid w:val="001D2051"/>
    <w:rPr>
      <w:rFonts w:ascii="PraxisEF-Light" w:eastAsia="Times New Roman" w:hAnsi="PraxisEF-Light" w:cs="PraxisEF-Light"/>
      <w:sz w:val="24"/>
      <w:szCs w:val="28"/>
    </w:rPr>
  </w:style>
  <w:style w:type="character" w:customStyle="1" w:styleId="highlight">
    <w:name w:val="highlight"/>
    <w:basedOn w:val="DefaultParagraphFont"/>
    <w:rsid w:val="00975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4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6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5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1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5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80.emf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70.emf"/><Relationship Id="rId27" Type="http://schemas.openxmlformats.org/officeDocument/2006/relationships/image" Target="media/image100.emf"/><Relationship Id="rId30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T.PAUL-HOME\AppData\Roaming\Microsoft\Templates\COMRU%20SO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5D1D3-8C6A-44EE-BD32-D323A493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COMRU SOP template.dotx</Template>
  <TotalTime>1</TotalTime>
  <Pages>22</Pages>
  <Words>1627</Words>
  <Characters>8960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Wellcome Trust Unit- Thailand</Company>
  <LinksUpToDate>false</LinksUpToDate>
  <CharactersWithSpaces>10566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Paul Turner</dc:creator>
  <cp:lastModifiedBy>Samuel Franzen</cp:lastModifiedBy>
  <cp:revision>2</cp:revision>
  <cp:lastPrinted>2012-12-11T10:38:00Z</cp:lastPrinted>
  <dcterms:created xsi:type="dcterms:W3CDTF">2014-03-27T16:47:00Z</dcterms:created>
  <dcterms:modified xsi:type="dcterms:W3CDTF">2014-03-27T16:47:00Z</dcterms:modified>
</cp:coreProperties>
</file>