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983F5B" w:rsidRDefault="00B83471" w:rsidP="00D219C6">
      <w:pPr>
        <w:pStyle w:val="Heading1"/>
        <w:rPr>
          <w:lang w:val="en-GB"/>
        </w:rPr>
      </w:pPr>
      <w:bookmarkStart w:id="0" w:name="_GoBack"/>
      <w:bookmarkEnd w:id="0"/>
      <w:r w:rsidRPr="00983F5B">
        <w:rPr>
          <w:lang w:val="en-GB"/>
        </w:rPr>
        <w:t>Aim</w:t>
      </w:r>
    </w:p>
    <w:p w:rsidR="00B83471" w:rsidRPr="00983F5B" w:rsidRDefault="00F602DE" w:rsidP="00D219C6">
      <w:pPr>
        <w:rPr>
          <w:lang w:val="en-GB"/>
        </w:rPr>
      </w:pPr>
      <w:r>
        <w:rPr>
          <w:lang w:val="en-GB"/>
        </w:rPr>
        <w:t xml:space="preserve">To describe the processing of clinical specimens collected for investigation of potential infection of the </w:t>
      </w:r>
      <w:r w:rsidR="00C958D2">
        <w:rPr>
          <w:lang w:val="en-GB"/>
        </w:rPr>
        <w:t xml:space="preserve">female </w:t>
      </w:r>
      <w:r>
        <w:rPr>
          <w:lang w:val="en-GB"/>
        </w:rPr>
        <w:t xml:space="preserve">genital tract </w:t>
      </w:r>
      <w:r w:rsidR="00401CCE">
        <w:rPr>
          <w:lang w:val="en-GB"/>
        </w:rPr>
        <w:t>in a paediatric hospital setting.</w:t>
      </w:r>
    </w:p>
    <w:p w:rsidR="00405ACC" w:rsidRPr="00983F5B" w:rsidRDefault="00B83471" w:rsidP="00D219C6">
      <w:pPr>
        <w:pStyle w:val="Heading1"/>
        <w:rPr>
          <w:lang w:val="en-GB"/>
        </w:rPr>
      </w:pPr>
      <w:r w:rsidRPr="00983F5B">
        <w:rPr>
          <w:lang w:val="en-GB"/>
        </w:rPr>
        <w:t>Principle</w:t>
      </w:r>
    </w:p>
    <w:p w:rsidR="00726349" w:rsidRPr="00726349" w:rsidRDefault="00F602DE" w:rsidP="00726349">
      <w:pPr>
        <w:rPr>
          <w:lang w:val="en-GB"/>
        </w:rPr>
      </w:pPr>
      <w:r w:rsidRPr="00726349">
        <w:rPr>
          <w:lang w:val="en-GB"/>
        </w:rPr>
        <w:t>Swab specimens a</w:t>
      </w:r>
      <w:r w:rsidR="00401CCE" w:rsidRPr="00726349">
        <w:rPr>
          <w:lang w:val="en-GB"/>
        </w:rPr>
        <w:t>re collected from the cervix/</w:t>
      </w:r>
      <w:r w:rsidRPr="00726349">
        <w:rPr>
          <w:lang w:val="en-GB"/>
        </w:rPr>
        <w:t>vagina to determine the presence of organisms associated with sexually transmitted or non-sexually transmitted infections. Appropriate specimens are often difficult to obtain: it is important to avoid contamination with faecal flora during collection of specimens.</w:t>
      </w:r>
      <w:r w:rsidR="00726349" w:rsidRPr="00726349">
        <w:rPr>
          <w:lang w:val="en-GB"/>
        </w:rPr>
        <w:t xml:space="preserve"> Certain important organisms are not amenable to detection by routine culture (e.g. </w:t>
      </w:r>
      <w:proofErr w:type="spellStart"/>
      <w:r w:rsidR="00FA704D">
        <w:rPr>
          <w:i/>
          <w:lang w:val="en-GB"/>
        </w:rPr>
        <w:t>Ureaplasma</w:t>
      </w:r>
      <w:proofErr w:type="spellEnd"/>
      <w:r w:rsidR="00FA704D">
        <w:rPr>
          <w:i/>
          <w:lang w:val="en-GB"/>
        </w:rPr>
        <w:t xml:space="preserve"> </w:t>
      </w:r>
      <w:proofErr w:type="spellStart"/>
      <w:r w:rsidR="00FA704D" w:rsidRPr="002E5A8D">
        <w:rPr>
          <w:i/>
          <w:lang w:val="en-GB"/>
        </w:rPr>
        <w:t>urealyticum</w:t>
      </w:r>
      <w:proofErr w:type="spellEnd"/>
      <w:r w:rsidR="00FA704D">
        <w:rPr>
          <w:lang w:val="en-GB"/>
        </w:rPr>
        <w:t xml:space="preserve">, </w:t>
      </w:r>
      <w:proofErr w:type="spellStart"/>
      <w:r w:rsidR="00726349" w:rsidRPr="00FA704D">
        <w:rPr>
          <w:i/>
          <w:lang w:val="en-GB"/>
        </w:rPr>
        <w:t>Treponema</w:t>
      </w:r>
      <w:proofErr w:type="spellEnd"/>
      <w:r w:rsidR="00726349" w:rsidRPr="00FA704D">
        <w:rPr>
          <w:i/>
          <w:lang w:val="en-GB"/>
        </w:rPr>
        <w:t xml:space="preserve"> </w:t>
      </w:r>
      <w:proofErr w:type="spellStart"/>
      <w:r w:rsidR="00726349" w:rsidRPr="00726349">
        <w:rPr>
          <w:i/>
          <w:lang w:val="en-GB"/>
        </w:rPr>
        <w:t>pallidum</w:t>
      </w:r>
      <w:proofErr w:type="spellEnd"/>
      <w:r w:rsidR="00FA704D">
        <w:rPr>
          <w:i/>
          <w:lang w:val="en-GB"/>
        </w:rPr>
        <w:t xml:space="preserve">, </w:t>
      </w:r>
      <w:r w:rsidR="00FA704D" w:rsidRPr="00FA704D">
        <w:rPr>
          <w:i/>
          <w:lang w:val="en-GB"/>
        </w:rPr>
        <w:t>Mycoplasma hominis</w:t>
      </w:r>
      <w:r w:rsidR="00FA704D">
        <w:rPr>
          <w:lang w:val="en-GB"/>
        </w:rPr>
        <w:t xml:space="preserve">, and </w:t>
      </w:r>
      <w:r w:rsidR="00726349" w:rsidRPr="00726349">
        <w:rPr>
          <w:i/>
          <w:lang w:val="en-GB"/>
        </w:rPr>
        <w:t>Chlamydia trachomatis</w:t>
      </w:r>
      <w:r w:rsidR="00726349">
        <w:rPr>
          <w:lang w:val="en-GB"/>
        </w:rPr>
        <w:t>): these will not be considered further</w:t>
      </w:r>
      <w:r w:rsidR="00EE358F">
        <w:rPr>
          <w:lang w:val="en-GB"/>
        </w:rPr>
        <w:t xml:space="preserve"> in this SOP</w:t>
      </w:r>
      <w:r w:rsidR="00726349">
        <w:rPr>
          <w:lang w:val="en-GB"/>
        </w:rPr>
        <w:t>.</w:t>
      </w:r>
    </w:p>
    <w:p w:rsidR="005651CF" w:rsidRDefault="005651CF" w:rsidP="00BF4A7B">
      <w:pPr>
        <w:rPr>
          <w:lang w:val="en-GB"/>
        </w:rPr>
      </w:pPr>
      <w:r>
        <w:rPr>
          <w:lang w:val="en-GB"/>
        </w:rPr>
        <w:t>The vaginal flora changes throughout life as a result of hormonal differences:</w:t>
      </w:r>
    </w:p>
    <w:p w:rsidR="005651CF" w:rsidRDefault="005651CF" w:rsidP="005651CF">
      <w:pPr>
        <w:pStyle w:val="ListParagraph"/>
        <w:numPr>
          <w:ilvl w:val="0"/>
          <w:numId w:val="10"/>
        </w:numPr>
        <w:rPr>
          <w:lang w:val="en-GB"/>
        </w:rPr>
      </w:pPr>
      <w:r>
        <w:rPr>
          <w:lang w:val="en-GB"/>
        </w:rPr>
        <w:t>First two weeks of life: similar to adult</w:t>
      </w:r>
      <w:r w:rsidR="0000258D">
        <w:rPr>
          <w:lang w:val="en-GB"/>
        </w:rPr>
        <w:t>.</w:t>
      </w:r>
    </w:p>
    <w:p w:rsidR="005651CF" w:rsidRDefault="005651CF" w:rsidP="005651CF">
      <w:pPr>
        <w:pStyle w:val="ListParagraph"/>
        <w:numPr>
          <w:ilvl w:val="0"/>
          <w:numId w:val="10"/>
        </w:numPr>
        <w:rPr>
          <w:lang w:val="en-GB"/>
        </w:rPr>
      </w:pPr>
      <w:r>
        <w:rPr>
          <w:lang w:val="en-GB"/>
        </w:rPr>
        <w:t>Pre-pubertal girls: skin and upper respiratory tract flora</w:t>
      </w:r>
      <w:r w:rsidR="0000258D">
        <w:rPr>
          <w:lang w:val="en-GB"/>
        </w:rPr>
        <w:t>.</w:t>
      </w:r>
    </w:p>
    <w:p w:rsidR="005651CF" w:rsidRDefault="005651CF" w:rsidP="005651CF">
      <w:pPr>
        <w:pStyle w:val="ListParagraph"/>
        <w:numPr>
          <w:ilvl w:val="0"/>
          <w:numId w:val="10"/>
        </w:numPr>
        <w:rPr>
          <w:lang w:val="en-GB"/>
        </w:rPr>
      </w:pPr>
      <w:r>
        <w:rPr>
          <w:lang w:val="en-GB"/>
        </w:rPr>
        <w:t>Post-pubertal girls / adults:</w:t>
      </w:r>
      <w:r w:rsidR="0000258D">
        <w:rPr>
          <w:lang w:val="en-GB"/>
        </w:rPr>
        <w:t xml:space="preserve"> low pH and anaerobic conditions mean that anaerobic organisms predominate (e.g. lactobacilli, </w:t>
      </w:r>
      <w:proofErr w:type="spellStart"/>
      <w:r w:rsidR="0000258D">
        <w:rPr>
          <w:i/>
          <w:lang w:val="en-GB"/>
        </w:rPr>
        <w:t>Prevotella</w:t>
      </w:r>
      <w:proofErr w:type="spellEnd"/>
      <w:r w:rsidR="0000258D">
        <w:rPr>
          <w:i/>
          <w:lang w:val="en-GB"/>
        </w:rPr>
        <w:t xml:space="preserve"> </w:t>
      </w:r>
      <w:r w:rsidR="0000258D">
        <w:rPr>
          <w:lang w:val="en-GB"/>
        </w:rPr>
        <w:t>spp., anaerobic GPC). Coagulase negative staphylococci and diphtheroids are the commonest aerobes.</w:t>
      </w:r>
    </w:p>
    <w:p w:rsidR="0000258D" w:rsidRDefault="0000258D" w:rsidP="005651CF">
      <w:pPr>
        <w:pStyle w:val="ListParagraph"/>
        <w:numPr>
          <w:ilvl w:val="0"/>
          <w:numId w:val="10"/>
        </w:numPr>
        <w:rPr>
          <w:lang w:val="en-GB"/>
        </w:rPr>
      </w:pPr>
      <w:r>
        <w:rPr>
          <w:lang w:val="en-GB"/>
        </w:rPr>
        <w:t>Post-menopausal women: skin and perineal organisms predominate.</w:t>
      </w:r>
    </w:p>
    <w:p w:rsidR="0000258D" w:rsidRDefault="0000258D" w:rsidP="0000258D">
      <w:pPr>
        <w:rPr>
          <w:lang w:val="en-GB"/>
        </w:rPr>
      </w:pPr>
      <w:r>
        <w:rPr>
          <w:lang w:val="en-GB"/>
        </w:rPr>
        <w:t>Infections may be characterised by pain, irritation, and discharge due to:</w:t>
      </w:r>
    </w:p>
    <w:p w:rsidR="0000258D" w:rsidRDefault="0000258D" w:rsidP="0000258D">
      <w:pPr>
        <w:pStyle w:val="ListParagraph"/>
        <w:numPr>
          <w:ilvl w:val="0"/>
          <w:numId w:val="11"/>
        </w:numPr>
        <w:rPr>
          <w:lang w:val="en-GB"/>
        </w:rPr>
      </w:pPr>
      <w:r>
        <w:rPr>
          <w:lang w:val="en-GB"/>
        </w:rPr>
        <w:t xml:space="preserve">Organisms normally present in low numbers which can cause symptoms when found as the predominant isolate (e.g. </w:t>
      </w:r>
      <w:r w:rsidR="00FD2BF3">
        <w:rPr>
          <w:i/>
          <w:lang w:val="en-GB"/>
        </w:rPr>
        <w:t>Staphylococcus</w:t>
      </w:r>
      <w:r>
        <w:rPr>
          <w:i/>
          <w:lang w:val="en-GB"/>
        </w:rPr>
        <w:t xml:space="preserve"> aureus</w:t>
      </w:r>
      <w:r>
        <w:rPr>
          <w:lang w:val="en-GB"/>
        </w:rPr>
        <w:t>).</w:t>
      </w:r>
    </w:p>
    <w:p w:rsidR="0000258D" w:rsidRDefault="0000258D" w:rsidP="0000258D">
      <w:pPr>
        <w:pStyle w:val="ListParagraph"/>
        <w:numPr>
          <w:ilvl w:val="0"/>
          <w:numId w:val="11"/>
        </w:numPr>
        <w:rPr>
          <w:lang w:val="en-GB"/>
        </w:rPr>
      </w:pPr>
      <w:r>
        <w:rPr>
          <w:lang w:val="en-GB"/>
        </w:rPr>
        <w:t xml:space="preserve">Organisms not normally isolates, whose presence is usually associated with disease (e.g. </w:t>
      </w:r>
      <w:r w:rsidR="00FD2BF3">
        <w:rPr>
          <w:i/>
          <w:lang w:val="en-GB"/>
        </w:rPr>
        <w:t>Neisseria</w:t>
      </w:r>
      <w:r>
        <w:rPr>
          <w:i/>
          <w:lang w:val="en-GB"/>
        </w:rPr>
        <w:t xml:space="preserve"> gonorrhoeae</w:t>
      </w:r>
      <w:r>
        <w:rPr>
          <w:lang w:val="en-GB"/>
        </w:rPr>
        <w:t>).</w:t>
      </w:r>
    </w:p>
    <w:p w:rsidR="00726349" w:rsidRPr="00726349" w:rsidRDefault="00726349" w:rsidP="00726349">
      <w:pPr>
        <w:rPr>
          <w:lang w:val="en-GB"/>
        </w:rPr>
        <w:sectPr w:rsidR="00726349" w:rsidRPr="00726349" w:rsidSect="006C64AF">
          <w:headerReference w:type="default" r:id="rId8"/>
          <w:footerReference w:type="default" r:id="rId9"/>
          <w:pgSz w:w="12240" w:h="15840"/>
          <w:pgMar w:top="1440" w:right="1800" w:bottom="1440" w:left="1800" w:header="708" w:footer="708" w:gutter="0"/>
          <w:cols w:space="708"/>
          <w:docGrid w:linePitch="326"/>
        </w:sectPr>
      </w:pPr>
    </w:p>
    <w:p w:rsidR="00BF4A7B" w:rsidRPr="00983F5B" w:rsidRDefault="00BF4A7B" w:rsidP="00BF4A7B">
      <w:pPr>
        <w:pStyle w:val="Heading1"/>
        <w:rPr>
          <w:lang w:val="en-GB"/>
        </w:rPr>
      </w:pPr>
      <w:r w:rsidRPr="00983F5B">
        <w:rPr>
          <w:lang w:val="en-GB"/>
        </w:rPr>
        <w:lastRenderedPageBreak/>
        <w:t>Method</w:t>
      </w:r>
    </w:p>
    <w:p w:rsidR="00F602DE" w:rsidRPr="00093BA1" w:rsidRDefault="00F602DE" w:rsidP="00F602DE">
      <w:pPr>
        <w:pStyle w:val="Heading2"/>
        <w:rPr>
          <w:lang w:val="en-GB"/>
        </w:rPr>
      </w:pPr>
      <w:r w:rsidRPr="00093BA1">
        <w:rPr>
          <w:lang w:val="en-GB"/>
        </w:rPr>
        <w:t>Specimen collection</w:t>
      </w:r>
    </w:p>
    <w:p w:rsidR="00F602DE" w:rsidRPr="00093BA1" w:rsidRDefault="00C958D2" w:rsidP="00F602DE">
      <w:pPr>
        <w:rPr>
          <w:lang w:val="en-GB"/>
        </w:rPr>
      </w:pPr>
      <w:r>
        <w:rPr>
          <w:lang w:val="en-GB"/>
        </w:rPr>
        <w:t>C</w:t>
      </w:r>
      <w:r w:rsidR="00F602DE">
        <w:rPr>
          <w:lang w:val="en-GB"/>
        </w:rPr>
        <w:t xml:space="preserve">ervical or high vaginal swabs are preferred to lower vaginal swabs. </w:t>
      </w:r>
      <w:r w:rsidR="00401CCE">
        <w:rPr>
          <w:lang w:val="en-GB"/>
        </w:rPr>
        <w:t xml:space="preserve">Specimens should be collected using sterile swabs and placed into </w:t>
      </w:r>
      <w:proofErr w:type="spellStart"/>
      <w:r w:rsidR="00401CCE">
        <w:rPr>
          <w:lang w:val="en-GB"/>
        </w:rPr>
        <w:t>Amies</w:t>
      </w:r>
      <w:proofErr w:type="spellEnd"/>
      <w:r w:rsidR="00401CCE">
        <w:rPr>
          <w:lang w:val="en-GB"/>
        </w:rPr>
        <w:t xml:space="preserve"> transport medium (</w:t>
      </w:r>
      <w:r w:rsidR="00C563F1">
        <w:rPr>
          <w:lang w:val="en-GB"/>
        </w:rPr>
        <w:t>+/-</w:t>
      </w:r>
      <w:r w:rsidR="00401CCE">
        <w:rPr>
          <w:lang w:val="en-GB"/>
        </w:rPr>
        <w:t xml:space="preserve"> charcoal).</w:t>
      </w:r>
    </w:p>
    <w:p w:rsidR="00F602DE" w:rsidRPr="00093BA1" w:rsidRDefault="00F602DE" w:rsidP="00F602DE">
      <w:pPr>
        <w:pStyle w:val="Heading2"/>
        <w:rPr>
          <w:lang w:val="en-GB"/>
        </w:rPr>
      </w:pPr>
      <w:r w:rsidRPr="00093BA1">
        <w:rPr>
          <w:lang w:val="en-GB"/>
        </w:rPr>
        <w:t>Specimen transport and storage</w:t>
      </w:r>
    </w:p>
    <w:p w:rsidR="00F602DE" w:rsidRPr="00093BA1" w:rsidRDefault="00F602DE" w:rsidP="00F602DE">
      <w:pPr>
        <w:rPr>
          <w:lang w:val="en-GB"/>
        </w:rPr>
      </w:pPr>
      <w:r w:rsidRPr="00093BA1">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F602DE" w:rsidRPr="00093BA1" w:rsidRDefault="00F602DE" w:rsidP="00F602DE">
      <w:pPr>
        <w:pStyle w:val="Heading2"/>
        <w:rPr>
          <w:lang w:val="en-GB"/>
        </w:rPr>
      </w:pPr>
      <w:r w:rsidRPr="00093BA1">
        <w:rPr>
          <w:lang w:val="en-GB"/>
        </w:rPr>
        <w:t>Specimen processing</w:t>
      </w:r>
    </w:p>
    <w:p w:rsidR="00F602DE" w:rsidRPr="00093BA1" w:rsidRDefault="00F602DE" w:rsidP="00F602DE">
      <w:pPr>
        <w:pStyle w:val="Heading3"/>
        <w:rPr>
          <w:lang w:val="en-GB"/>
        </w:rPr>
      </w:pPr>
      <w:r w:rsidRPr="00093BA1">
        <w:rPr>
          <w:lang w:val="en-GB"/>
        </w:rPr>
        <w:t>Reception</w:t>
      </w:r>
    </w:p>
    <w:p w:rsidR="00F602DE" w:rsidRPr="00093BA1" w:rsidRDefault="00F602DE" w:rsidP="00F602DE">
      <w:pPr>
        <w:rPr>
          <w:lang w:val="en-GB"/>
        </w:rPr>
      </w:pPr>
      <w:r w:rsidRPr="00093BA1">
        <w:rPr>
          <w:lang w:val="en-GB"/>
        </w:rPr>
        <w:t>Log the specimen in the appropriate specimen book and assign a specimen number.</w:t>
      </w:r>
    </w:p>
    <w:p w:rsidR="00F602DE" w:rsidRDefault="00F602DE" w:rsidP="00F602DE">
      <w:pPr>
        <w:pStyle w:val="Heading3"/>
        <w:rPr>
          <w:lang w:val="en-GB"/>
        </w:rPr>
      </w:pPr>
      <w:r w:rsidRPr="00093BA1">
        <w:rPr>
          <w:lang w:val="en-GB"/>
        </w:rPr>
        <w:t>Microscopic examination</w:t>
      </w:r>
    </w:p>
    <w:p w:rsidR="00AC12BA" w:rsidRDefault="00AC12BA" w:rsidP="00401CCE">
      <w:pPr>
        <w:rPr>
          <w:lang w:val="en-GB"/>
        </w:rPr>
      </w:pPr>
      <w:r>
        <w:rPr>
          <w:lang w:val="en-GB"/>
        </w:rPr>
        <w:t>After inoculating the appropriate agar plates (Section 3.3.3), prepare the following:</w:t>
      </w:r>
    </w:p>
    <w:p w:rsidR="00401CCE" w:rsidRPr="00AC12BA" w:rsidRDefault="00AC12BA" w:rsidP="00AC12BA">
      <w:pPr>
        <w:pStyle w:val="ListParagraph"/>
        <w:numPr>
          <w:ilvl w:val="0"/>
          <w:numId w:val="7"/>
        </w:numPr>
        <w:rPr>
          <w:lang w:val="en-GB"/>
        </w:rPr>
      </w:pPr>
      <w:r>
        <w:rPr>
          <w:lang w:val="en-GB"/>
        </w:rPr>
        <w:t>A</w:t>
      </w:r>
      <w:r w:rsidR="00401CCE" w:rsidRPr="00AC12BA">
        <w:rPr>
          <w:lang w:val="en-GB"/>
        </w:rPr>
        <w:t xml:space="preserve"> thin smear on a clean mi</w:t>
      </w:r>
      <w:r>
        <w:rPr>
          <w:lang w:val="en-GB"/>
        </w:rPr>
        <w:t>croscope slide for Gram stain</w:t>
      </w:r>
      <w:r w:rsidR="00401CCE" w:rsidRPr="00AC12BA">
        <w:rPr>
          <w:lang w:val="en-GB"/>
        </w:rPr>
        <w:t>.</w:t>
      </w:r>
    </w:p>
    <w:p w:rsidR="00401CCE" w:rsidRDefault="00AC12BA" w:rsidP="00AC12BA">
      <w:pPr>
        <w:pStyle w:val="ListParagraph"/>
        <w:numPr>
          <w:ilvl w:val="0"/>
          <w:numId w:val="7"/>
        </w:numPr>
      </w:pPr>
      <w:r>
        <w:rPr>
          <w:lang w:val="en-GB"/>
        </w:rPr>
        <w:t>A w</w:t>
      </w:r>
      <w:r w:rsidR="00401CCE" w:rsidRPr="00AC12BA">
        <w:rPr>
          <w:lang w:val="en-GB"/>
        </w:rPr>
        <w:t xml:space="preserve">et prep for </w:t>
      </w:r>
      <w:r>
        <w:rPr>
          <w:i/>
          <w:lang w:val="en-GB"/>
        </w:rPr>
        <w:t xml:space="preserve">Trichomonas vaginalis </w:t>
      </w:r>
      <w:r>
        <w:rPr>
          <w:lang w:val="en-GB"/>
        </w:rPr>
        <w:t>(</w:t>
      </w:r>
      <w:r w:rsidR="00401CCE" w:rsidRPr="00AC12BA">
        <w:rPr>
          <w:lang w:val="en-GB"/>
        </w:rPr>
        <w:t>TV</w:t>
      </w:r>
      <w:r>
        <w:rPr>
          <w:lang w:val="en-GB"/>
        </w:rPr>
        <w:t>)</w:t>
      </w:r>
      <w:r w:rsidR="00401CCE" w:rsidRPr="00AC12BA">
        <w:rPr>
          <w:lang w:val="en-GB"/>
        </w:rPr>
        <w:t xml:space="preserve">: mix the swab with a drop of sterile saline on a </w:t>
      </w:r>
      <w:r>
        <w:rPr>
          <w:lang w:val="en-GB"/>
        </w:rPr>
        <w:t xml:space="preserve">clean microscope </w:t>
      </w:r>
      <w:r w:rsidR="00401CCE" w:rsidRPr="00AC12BA">
        <w:rPr>
          <w:lang w:val="en-GB"/>
        </w:rPr>
        <w:t xml:space="preserve">slide. </w:t>
      </w:r>
      <w:r w:rsidR="00401CCE">
        <w:t>Place a coverslip over the</w:t>
      </w:r>
      <w:r>
        <w:t xml:space="preserve"> wet inoculum and examine with the</w:t>
      </w:r>
      <w:r w:rsidR="00401CCE">
        <w:t xml:space="preserve"> low power objective</w:t>
      </w:r>
      <w:r>
        <w:t>.</w:t>
      </w:r>
    </w:p>
    <w:p w:rsidR="00401CCE" w:rsidRPr="00093BA1" w:rsidRDefault="00401CCE" w:rsidP="00401CCE">
      <w:pPr>
        <w:pStyle w:val="Heading3"/>
        <w:rPr>
          <w:lang w:val="en-GB"/>
        </w:rPr>
      </w:pPr>
      <w:r w:rsidRPr="00093BA1">
        <w:rPr>
          <w:lang w:val="en-GB"/>
        </w:rPr>
        <w:t>Culture</w:t>
      </w:r>
    </w:p>
    <w:p w:rsidR="00654EBC" w:rsidRDefault="00401CCE" w:rsidP="00401CCE">
      <w:pPr>
        <w:rPr>
          <w:lang w:val="en-GB"/>
        </w:rPr>
      </w:pPr>
      <w:r w:rsidRPr="00093BA1">
        <w:rPr>
          <w:lang w:val="en-GB"/>
        </w:rPr>
        <w:t>Inoculate and incubate culture media as indicated in Table 1.</w:t>
      </w:r>
    </w:p>
    <w:p w:rsidR="00654EBC" w:rsidRDefault="00654EBC" w:rsidP="00654EBC">
      <w:pPr>
        <w:rPr>
          <w:lang w:val="en-GB"/>
        </w:rPr>
      </w:pPr>
      <w:r>
        <w:rPr>
          <w:lang w:val="en-GB"/>
        </w:rPr>
        <w:br w:type="page"/>
      </w:r>
    </w:p>
    <w:p w:rsidR="00654EBC" w:rsidRPr="00093BA1" w:rsidRDefault="00654EBC" w:rsidP="00654EBC">
      <w:pPr>
        <w:rPr>
          <w:b/>
          <w:lang w:val="en-GB"/>
        </w:rPr>
      </w:pPr>
      <w:proofErr w:type="gramStart"/>
      <w:r w:rsidRPr="00093BA1">
        <w:rPr>
          <w:b/>
          <w:lang w:val="en-GB"/>
        </w:rPr>
        <w:lastRenderedPageBreak/>
        <w:t>Table 1.</w:t>
      </w:r>
      <w:proofErr w:type="gramEnd"/>
      <w:r w:rsidRPr="00093BA1">
        <w:rPr>
          <w:b/>
          <w:lang w:val="en-GB"/>
        </w:rPr>
        <w:t xml:space="preserve"> </w:t>
      </w:r>
      <w:r w:rsidRPr="00820277">
        <w:rPr>
          <w:lang w:val="en-GB"/>
        </w:rPr>
        <w:t>Culture media, conditions, and target organisms</w:t>
      </w:r>
    </w:p>
    <w:tbl>
      <w:tblPr>
        <w:tblStyle w:val="TableGrid"/>
        <w:tblW w:w="0" w:type="auto"/>
        <w:tblInd w:w="108" w:type="dxa"/>
        <w:tblLook w:val="04A0" w:firstRow="1" w:lastRow="0" w:firstColumn="1" w:lastColumn="0" w:noHBand="0" w:noVBand="1"/>
      </w:tblPr>
      <w:tblGrid>
        <w:gridCol w:w="1418"/>
        <w:gridCol w:w="1355"/>
        <w:gridCol w:w="1365"/>
        <w:gridCol w:w="1313"/>
        <w:gridCol w:w="1115"/>
        <w:gridCol w:w="2182"/>
      </w:tblGrid>
      <w:tr w:rsidR="00401CCE" w:rsidTr="007656C3">
        <w:tc>
          <w:tcPr>
            <w:tcW w:w="1418" w:type="dxa"/>
            <w:vMerge w:val="restart"/>
            <w:shd w:val="clear" w:color="auto" w:fill="BFBFBF" w:themeFill="background1" w:themeFillShade="BF"/>
          </w:tcPr>
          <w:p w:rsidR="00401CCE" w:rsidRPr="0013416E" w:rsidRDefault="00401CCE" w:rsidP="0013416E">
            <w:pPr>
              <w:jc w:val="center"/>
              <w:rPr>
                <w:b/>
                <w:lang w:val="en-GB"/>
              </w:rPr>
            </w:pPr>
            <w:r w:rsidRPr="0013416E">
              <w:rPr>
                <w:b/>
                <w:lang w:val="en-GB"/>
              </w:rPr>
              <w:t>Medium</w:t>
            </w:r>
          </w:p>
        </w:tc>
        <w:tc>
          <w:tcPr>
            <w:tcW w:w="4033" w:type="dxa"/>
            <w:gridSpan w:val="3"/>
            <w:shd w:val="clear" w:color="auto" w:fill="BFBFBF" w:themeFill="background1" w:themeFillShade="BF"/>
          </w:tcPr>
          <w:p w:rsidR="00401CCE" w:rsidRPr="0013416E" w:rsidRDefault="00401CCE" w:rsidP="0013416E">
            <w:pPr>
              <w:jc w:val="center"/>
              <w:rPr>
                <w:b/>
                <w:lang w:val="en-GB"/>
              </w:rPr>
            </w:pPr>
            <w:r w:rsidRPr="0013416E">
              <w:rPr>
                <w:b/>
                <w:lang w:val="en-GB"/>
              </w:rPr>
              <w:t>Incubation</w:t>
            </w:r>
          </w:p>
        </w:tc>
        <w:tc>
          <w:tcPr>
            <w:tcW w:w="1115" w:type="dxa"/>
            <w:vMerge w:val="restart"/>
            <w:shd w:val="clear" w:color="auto" w:fill="BFBFBF" w:themeFill="background1" w:themeFillShade="BF"/>
          </w:tcPr>
          <w:p w:rsidR="00401CCE" w:rsidRPr="0013416E" w:rsidRDefault="00401CCE" w:rsidP="0013416E">
            <w:pPr>
              <w:jc w:val="center"/>
              <w:rPr>
                <w:b/>
                <w:lang w:val="en-GB"/>
              </w:rPr>
            </w:pPr>
            <w:r w:rsidRPr="0013416E">
              <w:rPr>
                <w:b/>
                <w:lang w:val="en-GB"/>
              </w:rPr>
              <w:t>Cultures read</w:t>
            </w:r>
          </w:p>
        </w:tc>
        <w:tc>
          <w:tcPr>
            <w:tcW w:w="2182" w:type="dxa"/>
            <w:vMerge w:val="restart"/>
            <w:shd w:val="clear" w:color="auto" w:fill="BFBFBF" w:themeFill="background1" w:themeFillShade="BF"/>
          </w:tcPr>
          <w:p w:rsidR="00401CCE" w:rsidRPr="0013416E" w:rsidRDefault="00401CCE" w:rsidP="0013416E">
            <w:pPr>
              <w:jc w:val="center"/>
              <w:rPr>
                <w:b/>
                <w:lang w:val="en-GB"/>
              </w:rPr>
            </w:pPr>
            <w:r w:rsidRPr="0013416E">
              <w:rPr>
                <w:b/>
                <w:lang w:val="en-GB"/>
              </w:rPr>
              <w:t>Target organisms</w:t>
            </w:r>
          </w:p>
        </w:tc>
      </w:tr>
      <w:tr w:rsidR="002D7096" w:rsidTr="007656C3">
        <w:tc>
          <w:tcPr>
            <w:tcW w:w="1418" w:type="dxa"/>
            <w:vMerge/>
          </w:tcPr>
          <w:p w:rsidR="00401CCE" w:rsidRDefault="00401CCE" w:rsidP="0013416E">
            <w:pPr>
              <w:jc w:val="center"/>
              <w:rPr>
                <w:lang w:val="en-GB"/>
              </w:rPr>
            </w:pPr>
          </w:p>
        </w:tc>
        <w:tc>
          <w:tcPr>
            <w:tcW w:w="1355" w:type="dxa"/>
            <w:shd w:val="clear" w:color="auto" w:fill="BFBFBF" w:themeFill="background1" w:themeFillShade="BF"/>
          </w:tcPr>
          <w:p w:rsidR="00401CCE" w:rsidRPr="0013416E" w:rsidRDefault="00401CCE" w:rsidP="0013416E">
            <w:pPr>
              <w:jc w:val="center"/>
              <w:rPr>
                <w:b/>
                <w:lang w:val="en-GB"/>
              </w:rPr>
            </w:pPr>
            <w:r w:rsidRPr="0013416E">
              <w:rPr>
                <w:b/>
                <w:lang w:val="en-GB"/>
              </w:rPr>
              <w:t>Temp (</w:t>
            </w:r>
            <w:r w:rsidRPr="0013416E">
              <w:rPr>
                <w:b/>
                <w:lang w:val="en-GB"/>
              </w:rPr>
              <w:sym w:font="Symbol" w:char="F0B0"/>
            </w:r>
            <w:r w:rsidRPr="0013416E">
              <w:rPr>
                <w:b/>
                <w:lang w:val="en-GB"/>
              </w:rPr>
              <w:t>C)</w:t>
            </w:r>
          </w:p>
        </w:tc>
        <w:tc>
          <w:tcPr>
            <w:tcW w:w="1365" w:type="dxa"/>
            <w:shd w:val="clear" w:color="auto" w:fill="BFBFBF" w:themeFill="background1" w:themeFillShade="BF"/>
          </w:tcPr>
          <w:p w:rsidR="00401CCE" w:rsidRPr="0013416E" w:rsidRDefault="00401CCE" w:rsidP="0013416E">
            <w:pPr>
              <w:jc w:val="center"/>
              <w:rPr>
                <w:b/>
                <w:lang w:val="en-GB"/>
              </w:rPr>
            </w:pPr>
            <w:r w:rsidRPr="0013416E">
              <w:rPr>
                <w:b/>
                <w:lang w:val="en-GB"/>
              </w:rPr>
              <w:t>Atmosphere</w:t>
            </w:r>
          </w:p>
        </w:tc>
        <w:tc>
          <w:tcPr>
            <w:tcW w:w="1313" w:type="dxa"/>
            <w:shd w:val="clear" w:color="auto" w:fill="BFBFBF" w:themeFill="background1" w:themeFillShade="BF"/>
          </w:tcPr>
          <w:p w:rsidR="00401CCE" w:rsidRPr="0013416E" w:rsidRDefault="00401CCE" w:rsidP="0013416E">
            <w:pPr>
              <w:jc w:val="center"/>
              <w:rPr>
                <w:b/>
                <w:lang w:val="en-GB"/>
              </w:rPr>
            </w:pPr>
            <w:r w:rsidRPr="0013416E">
              <w:rPr>
                <w:b/>
                <w:lang w:val="en-GB"/>
              </w:rPr>
              <w:t>Time</w:t>
            </w:r>
          </w:p>
        </w:tc>
        <w:tc>
          <w:tcPr>
            <w:tcW w:w="1115" w:type="dxa"/>
            <w:vMerge/>
          </w:tcPr>
          <w:p w:rsidR="00401CCE" w:rsidRPr="0013416E" w:rsidRDefault="00401CCE" w:rsidP="0013416E">
            <w:pPr>
              <w:jc w:val="center"/>
              <w:rPr>
                <w:b/>
                <w:lang w:val="en-GB"/>
              </w:rPr>
            </w:pPr>
          </w:p>
        </w:tc>
        <w:tc>
          <w:tcPr>
            <w:tcW w:w="2182" w:type="dxa"/>
            <w:vMerge/>
          </w:tcPr>
          <w:p w:rsidR="00401CCE" w:rsidRPr="0013416E" w:rsidRDefault="00401CCE" w:rsidP="0013416E">
            <w:pPr>
              <w:jc w:val="center"/>
              <w:rPr>
                <w:b/>
                <w:lang w:val="en-GB"/>
              </w:rPr>
            </w:pPr>
          </w:p>
        </w:tc>
      </w:tr>
      <w:tr w:rsidR="002D7096" w:rsidTr="002D7096">
        <w:tc>
          <w:tcPr>
            <w:tcW w:w="1418" w:type="dxa"/>
          </w:tcPr>
          <w:p w:rsidR="00401CCE" w:rsidRDefault="0013416E" w:rsidP="0013416E">
            <w:pPr>
              <w:rPr>
                <w:lang w:val="en-GB"/>
              </w:rPr>
            </w:pPr>
            <w:r>
              <w:rPr>
                <w:lang w:val="en-GB"/>
              </w:rPr>
              <w:t>Blood agar</w:t>
            </w:r>
          </w:p>
        </w:tc>
        <w:tc>
          <w:tcPr>
            <w:tcW w:w="1355" w:type="dxa"/>
          </w:tcPr>
          <w:p w:rsidR="00401CCE" w:rsidRDefault="0013416E" w:rsidP="0013416E">
            <w:pPr>
              <w:rPr>
                <w:lang w:val="en-GB"/>
              </w:rPr>
            </w:pPr>
            <w:r>
              <w:rPr>
                <w:lang w:val="en-GB"/>
              </w:rPr>
              <w:t>35 - 37</w:t>
            </w:r>
          </w:p>
        </w:tc>
        <w:tc>
          <w:tcPr>
            <w:tcW w:w="1365" w:type="dxa"/>
          </w:tcPr>
          <w:p w:rsidR="00401CCE" w:rsidRPr="0013416E" w:rsidRDefault="0013416E" w:rsidP="0013416E">
            <w:pPr>
              <w:rPr>
                <w:vertAlign w:val="subscript"/>
                <w:lang w:val="en-GB"/>
              </w:rPr>
            </w:pPr>
            <w:r>
              <w:rPr>
                <w:lang w:val="en-GB"/>
              </w:rPr>
              <w:t>5 - 10% CO</w:t>
            </w:r>
            <w:r>
              <w:rPr>
                <w:vertAlign w:val="subscript"/>
                <w:lang w:val="en-GB"/>
              </w:rPr>
              <w:t>2</w:t>
            </w:r>
          </w:p>
        </w:tc>
        <w:tc>
          <w:tcPr>
            <w:tcW w:w="1313" w:type="dxa"/>
          </w:tcPr>
          <w:p w:rsidR="00401CCE" w:rsidRDefault="0013416E" w:rsidP="0013416E">
            <w:pPr>
              <w:rPr>
                <w:lang w:val="en-GB"/>
              </w:rPr>
            </w:pPr>
            <w:r>
              <w:rPr>
                <w:lang w:val="en-GB"/>
              </w:rPr>
              <w:t>16 - 24h</w:t>
            </w:r>
          </w:p>
        </w:tc>
        <w:tc>
          <w:tcPr>
            <w:tcW w:w="1115" w:type="dxa"/>
          </w:tcPr>
          <w:p w:rsidR="00401CCE" w:rsidRDefault="0013416E" w:rsidP="0013416E">
            <w:pPr>
              <w:rPr>
                <w:lang w:val="en-GB"/>
              </w:rPr>
            </w:pPr>
            <w:r>
              <w:rPr>
                <w:lang w:val="en-GB"/>
              </w:rPr>
              <w:t>16 - 24h</w:t>
            </w:r>
          </w:p>
        </w:tc>
        <w:tc>
          <w:tcPr>
            <w:tcW w:w="2182" w:type="dxa"/>
          </w:tcPr>
          <w:p w:rsidR="0013416E" w:rsidRDefault="0013416E" w:rsidP="002D7096">
            <w:pPr>
              <w:jc w:val="left"/>
            </w:pPr>
            <w:r>
              <w:rPr>
                <w:i/>
              </w:rPr>
              <w:t>S. aureus</w:t>
            </w:r>
          </w:p>
          <w:p w:rsidR="0013416E" w:rsidRDefault="00FD2BF3" w:rsidP="002D7096">
            <w:pPr>
              <w:jc w:val="left"/>
            </w:pPr>
            <w:r>
              <w:t xml:space="preserve">Group </w:t>
            </w:r>
            <w:r w:rsidR="0013416E">
              <w:t xml:space="preserve">A, C and G </w:t>
            </w:r>
            <w:r>
              <w:t>beta-</w:t>
            </w:r>
            <w:proofErr w:type="spellStart"/>
            <w:r>
              <w:t>haem</w:t>
            </w:r>
            <w:proofErr w:type="spellEnd"/>
            <w:r>
              <w:t xml:space="preserve"> </w:t>
            </w:r>
            <w:r w:rsidR="0013416E">
              <w:t>streptococci</w:t>
            </w:r>
          </w:p>
          <w:p w:rsidR="00401CCE" w:rsidRDefault="0013416E" w:rsidP="002D7096">
            <w:pPr>
              <w:jc w:val="left"/>
              <w:rPr>
                <w:lang w:val="en-GB"/>
              </w:rPr>
            </w:pPr>
            <w:r>
              <w:t>Other organisms may be significant (see section 4</w:t>
            </w:r>
            <w:r w:rsidR="00654EBC">
              <w:t>)</w:t>
            </w:r>
          </w:p>
        </w:tc>
      </w:tr>
      <w:tr w:rsidR="00654EBC" w:rsidTr="002D7096">
        <w:tc>
          <w:tcPr>
            <w:tcW w:w="1418" w:type="dxa"/>
          </w:tcPr>
          <w:p w:rsidR="00654EBC" w:rsidRDefault="00654EBC" w:rsidP="0013416E">
            <w:pPr>
              <w:rPr>
                <w:lang w:val="en-GB"/>
              </w:rPr>
            </w:pPr>
            <w:r>
              <w:rPr>
                <w:lang w:val="en-GB"/>
              </w:rPr>
              <w:t>Chocolate agar</w:t>
            </w:r>
          </w:p>
        </w:tc>
        <w:tc>
          <w:tcPr>
            <w:tcW w:w="1355" w:type="dxa"/>
          </w:tcPr>
          <w:p w:rsidR="00654EBC" w:rsidRDefault="00654EBC" w:rsidP="00D52743">
            <w:pPr>
              <w:rPr>
                <w:lang w:val="en-GB"/>
              </w:rPr>
            </w:pPr>
            <w:r>
              <w:rPr>
                <w:lang w:val="en-GB"/>
              </w:rPr>
              <w:t>35 - 37</w:t>
            </w:r>
          </w:p>
        </w:tc>
        <w:tc>
          <w:tcPr>
            <w:tcW w:w="1365" w:type="dxa"/>
          </w:tcPr>
          <w:p w:rsidR="00654EBC" w:rsidRPr="0013416E" w:rsidRDefault="00654EBC" w:rsidP="00D52743">
            <w:pPr>
              <w:rPr>
                <w:vertAlign w:val="subscript"/>
                <w:lang w:val="en-GB"/>
              </w:rPr>
            </w:pPr>
            <w:r>
              <w:rPr>
                <w:lang w:val="en-GB"/>
              </w:rPr>
              <w:t>5 - 10% CO</w:t>
            </w:r>
            <w:r>
              <w:rPr>
                <w:vertAlign w:val="subscript"/>
                <w:lang w:val="en-GB"/>
              </w:rPr>
              <w:t>2</w:t>
            </w:r>
          </w:p>
        </w:tc>
        <w:tc>
          <w:tcPr>
            <w:tcW w:w="1313" w:type="dxa"/>
          </w:tcPr>
          <w:p w:rsidR="00654EBC" w:rsidRDefault="00654EBC" w:rsidP="00D52743">
            <w:pPr>
              <w:rPr>
                <w:lang w:val="en-GB"/>
              </w:rPr>
            </w:pPr>
            <w:r>
              <w:rPr>
                <w:lang w:val="en-GB"/>
              </w:rPr>
              <w:t>40 - 48h</w:t>
            </w:r>
          </w:p>
        </w:tc>
        <w:tc>
          <w:tcPr>
            <w:tcW w:w="1115" w:type="dxa"/>
          </w:tcPr>
          <w:p w:rsidR="00654EBC" w:rsidRDefault="00654EBC" w:rsidP="00D52743">
            <w:pPr>
              <w:rPr>
                <w:lang w:val="en-GB"/>
              </w:rPr>
            </w:pPr>
            <w:r>
              <w:rPr>
                <w:lang w:val="en-GB"/>
              </w:rPr>
              <w:t>Daily</w:t>
            </w:r>
          </w:p>
        </w:tc>
        <w:tc>
          <w:tcPr>
            <w:tcW w:w="2182" w:type="dxa"/>
          </w:tcPr>
          <w:p w:rsidR="00654EBC" w:rsidRPr="00654EBC" w:rsidRDefault="00654EBC" w:rsidP="002D7096">
            <w:pPr>
              <w:jc w:val="left"/>
              <w:rPr>
                <w:i/>
                <w:lang w:val="en-GB"/>
              </w:rPr>
            </w:pPr>
            <w:r>
              <w:rPr>
                <w:i/>
                <w:lang w:val="en-GB"/>
              </w:rPr>
              <w:t>H. influenzae</w:t>
            </w:r>
          </w:p>
        </w:tc>
      </w:tr>
      <w:tr w:rsidR="002D7096" w:rsidTr="002D7096">
        <w:tc>
          <w:tcPr>
            <w:tcW w:w="1418" w:type="dxa"/>
          </w:tcPr>
          <w:p w:rsidR="00654EBC" w:rsidRDefault="00654EBC" w:rsidP="0013416E">
            <w:pPr>
              <w:rPr>
                <w:lang w:val="en-GB"/>
              </w:rPr>
            </w:pPr>
            <w:r>
              <w:rPr>
                <w:lang w:val="en-GB"/>
              </w:rPr>
              <w:t>Sabouraud agar</w:t>
            </w:r>
          </w:p>
        </w:tc>
        <w:tc>
          <w:tcPr>
            <w:tcW w:w="1355" w:type="dxa"/>
          </w:tcPr>
          <w:p w:rsidR="00654EBC" w:rsidRDefault="00654EBC" w:rsidP="0013416E">
            <w:pPr>
              <w:rPr>
                <w:lang w:val="en-GB"/>
              </w:rPr>
            </w:pPr>
            <w:r>
              <w:rPr>
                <w:lang w:val="en-GB"/>
              </w:rPr>
              <w:t>35 - 37</w:t>
            </w:r>
          </w:p>
        </w:tc>
        <w:tc>
          <w:tcPr>
            <w:tcW w:w="1365" w:type="dxa"/>
          </w:tcPr>
          <w:p w:rsidR="00654EBC" w:rsidRDefault="00654EBC" w:rsidP="0013416E">
            <w:pPr>
              <w:rPr>
                <w:lang w:val="en-GB"/>
              </w:rPr>
            </w:pPr>
            <w:r>
              <w:rPr>
                <w:lang w:val="en-GB"/>
              </w:rPr>
              <w:t>Air</w:t>
            </w:r>
          </w:p>
        </w:tc>
        <w:tc>
          <w:tcPr>
            <w:tcW w:w="1313" w:type="dxa"/>
          </w:tcPr>
          <w:p w:rsidR="00654EBC" w:rsidRDefault="00654EBC" w:rsidP="0013416E">
            <w:pPr>
              <w:rPr>
                <w:lang w:val="en-GB"/>
              </w:rPr>
            </w:pPr>
            <w:r>
              <w:rPr>
                <w:lang w:val="en-GB"/>
              </w:rPr>
              <w:t>40 - 48h</w:t>
            </w:r>
          </w:p>
        </w:tc>
        <w:tc>
          <w:tcPr>
            <w:tcW w:w="1115" w:type="dxa"/>
          </w:tcPr>
          <w:p w:rsidR="00654EBC" w:rsidRDefault="00654EBC" w:rsidP="0013416E">
            <w:pPr>
              <w:rPr>
                <w:lang w:val="en-GB"/>
              </w:rPr>
            </w:pPr>
            <w:r>
              <w:rPr>
                <w:lang w:val="en-GB"/>
              </w:rPr>
              <w:t>Daily</w:t>
            </w:r>
          </w:p>
        </w:tc>
        <w:tc>
          <w:tcPr>
            <w:tcW w:w="2182" w:type="dxa"/>
          </w:tcPr>
          <w:p w:rsidR="00654EBC" w:rsidRDefault="00654EBC" w:rsidP="002D7096">
            <w:pPr>
              <w:jc w:val="left"/>
              <w:rPr>
                <w:lang w:val="en-GB"/>
              </w:rPr>
            </w:pPr>
            <w:r>
              <w:rPr>
                <w:lang w:val="en-GB"/>
              </w:rPr>
              <w:t>Yeasts</w:t>
            </w:r>
          </w:p>
        </w:tc>
      </w:tr>
      <w:tr w:rsidR="00654EBC" w:rsidTr="002D7096">
        <w:tc>
          <w:tcPr>
            <w:tcW w:w="1418" w:type="dxa"/>
          </w:tcPr>
          <w:p w:rsidR="00654EBC" w:rsidRDefault="00654EBC" w:rsidP="0013416E">
            <w:pPr>
              <w:rPr>
                <w:lang w:val="en-GB"/>
              </w:rPr>
            </w:pPr>
            <w:r>
              <w:rPr>
                <w:lang w:val="en-GB"/>
              </w:rPr>
              <w:t>GC agar</w:t>
            </w:r>
          </w:p>
          <w:p w:rsidR="002D7096" w:rsidRDefault="002D7096" w:rsidP="002D7096">
            <w:pPr>
              <w:spacing w:after="0"/>
              <w:rPr>
                <w:lang w:val="en-GB"/>
              </w:rPr>
            </w:pPr>
          </w:p>
        </w:tc>
        <w:tc>
          <w:tcPr>
            <w:tcW w:w="1355" w:type="dxa"/>
          </w:tcPr>
          <w:p w:rsidR="00654EBC" w:rsidRDefault="00654EBC" w:rsidP="0013416E">
            <w:pPr>
              <w:rPr>
                <w:lang w:val="en-GB"/>
              </w:rPr>
            </w:pPr>
            <w:r>
              <w:rPr>
                <w:lang w:val="en-GB"/>
              </w:rPr>
              <w:t>35 - 37</w:t>
            </w:r>
          </w:p>
        </w:tc>
        <w:tc>
          <w:tcPr>
            <w:tcW w:w="1365" w:type="dxa"/>
          </w:tcPr>
          <w:p w:rsidR="00654EBC" w:rsidRPr="0013416E" w:rsidRDefault="00654EBC" w:rsidP="00D52743">
            <w:pPr>
              <w:rPr>
                <w:vertAlign w:val="subscript"/>
                <w:lang w:val="en-GB"/>
              </w:rPr>
            </w:pPr>
            <w:r>
              <w:rPr>
                <w:lang w:val="en-GB"/>
              </w:rPr>
              <w:t>5 - 10% CO</w:t>
            </w:r>
            <w:r>
              <w:rPr>
                <w:vertAlign w:val="subscript"/>
                <w:lang w:val="en-GB"/>
              </w:rPr>
              <w:t>2</w:t>
            </w:r>
          </w:p>
        </w:tc>
        <w:tc>
          <w:tcPr>
            <w:tcW w:w="1313" w:type="dxa"/>
          </w:tcPr>
          <w:p w:rsidR="00654EBC" w:rsidRDefault="00654EBC" w:rsidP="0013416E">
            <w:pPr>
              <w:rPr>
                <w:lang w:val="en-GB"/>
              </w:rPr>
            </w:pPr>
            <w:r>
              <w:rPr>
                <w:lang w:val="en-GB"/>
              </w:rPr>
              <w:t>40 - 48h</w:t>
            </w:r>
          </w:p>
        </w:tc>
        <w:tc>
          <w:tcPr>
            <w:tcW w:w="1115" w:type="dxa"/>
          </w:tcPr>
          <w:p w:rsidR="00654EBC" w:rsidRDefault="00654EBC" w:rsidP="0013416E">
            <w:pPr>
              <w:rPr>
                <w:lang w:val="en-GB"/>
              </w:rPr>
            </w:pPr>
            <w:r>
              <w:rPr>
                <w:lang w:val="en-GB"/>
              </w:rPr>
              <w:t>Daily</w:t>
            </w:r>
          </w:p>
        </w:tc>
        <w:tc>
          <w:tcPr>
            <w:tcW w:w="2182" w:type="dxa"/>
          </w:tcPr>
          <w:p w:rsidR="00654EBC" w:rsidRPr="0013416E" w:rsidRDefault="00654EBC" w:rsidP="002D7096">
            <w:pPr>
              <w:jc w:val="left"/>
              <w:rPr>
                <w:i/>
                <w:lang w:val="en-GB"/>
              </w:rPr>
            </w:pPr>
            <w:r>
              <w:rPr>
                <w:i/>
                <w:lang w:val="en-GB"/>
              </w:rPr>
              <w:t>N. gonorrhoeae</w:t>
            </w:r>
          </w:p>
        </w:tc>
      </w:tr>
    </w:tbl>
    <w:p w:rsidR="00401CCE" w:rsidRPr="00401CCE" w:rsidRDefault="00401CCE" w:rsidP="00401CCE">
      <w:pPr>
        <w:rPr>
          <w:lang w:val="en-GB"/>
        </w:rPr>
      </w:pPr>
    </w:p>
    <w:p w:rsidR="00BF4A7B" w:rsidRDefault="00BF4A7B" w:rsidP="00BF4A7B">
      <w:pPr>
        <w:pStyle w:val="Heading1"/>
        <w:rPr>
          <w:lang w:val="en-GB"/>
        </w:rPr>
      </w:pPr>
      <w:r w:rsidRPr="00983F5B">
        <w:rPr>
          <w:lang w:val="en-GB"/>
        </w:rPr>
        <w:t>Interpretation</w:t>
      </w:r>
    </w:p>
    <w:p w:rsidR="00654EBC" w:rsidRPr="00093BA1" w:rsidRDefault="00654EBC" w:rsidP="00654EBC">
      <w:pPr>
        <w:rPr>
          <w:lang w:val="en-GB"/>
        </w:rPr>
      </w:pPr>
      <w:r w:rsidRPr="00093BA1">
        <w:rPr>
          <w:lang w:val="en-GB"/>
        </w:rPr>
        <w:t xml:space="preserve">Record </w:t>
      </w:r>
      <w:r>
        <w:rPr>
          <w:lang w:val="en-GB"/>
        </w:rPr>
        <w:t xml:space="preserve">the </w:t>
      </w:r>
      <w:r w:rsidRPr="00093BA1">
        <w:rPr>
          <w:lang w:val="en-GB"/>
        </w:rPr>
        <w:t>semi-quantita</w:t>
      </w:r>
      <w:r>
        <w:rPr>
          <w:lang w:val="en-GB"/>
        </w:rPr>
        <w:t>tive growth of each colony type (i.e. +/- to ++++).</w:t>
      </w:r>
    </w:p>
    <w:p w:rsidR="00BF4A7B" w:rsidRPr="00983F5B" w:rsidRDefault="00BF4A7B" w:rsidP="00BF4A7B">
      <w:pPr>
        <w:pStyle w:val="Heading2"/>
        <w:rPr>
          <w:lang w:val="en-GB"/>
        </w:rPr>
      </w:pPr>
      <w:r w:rsidRPr="00983F5B">
        <w:rPr>
          <w:lang w:val="en-GB"/>
        </w:rPr>
        <w:t>Minimum level of identification in the laboratory</w:t>
      </w:r>
    </w:p>
    <w:p w:rsidR="002C531C" w:rsidRPr="00093BA1" w:rsidRDefault="002C531C" w:rsidP="002C531C">
      <w:pPr>
        <w:rPr>
          <w:lang w:val="en-GB"/>
        </w:rPr>
      </w:pPr>
      <w:r w:rsidRPr="00093BA1">
        <w:rPr>
          <w:lang w:val="en-GB"/>
        </w:rPr>
        <w:t>In general significant isolates should be identified as fully as possible: potentially significant organisms are summarised in SOP MID-004.</w:t>
      </w:r>
    </w:p>
    <w:p w:rsidR="00BF4A7B" w:rsidRDefault="00890C79" w:rsidP="00BF4A7B">
      <w:pPr>
        <w:rPr>
          <w:lang w:val="en-GB"/>
        </w:rPr>
      </w:pPr>
      <w:r>
        <w:rPr>
          <w:lang w:val="en-GB"/>
        </w:rPr>
        <w:t>S</w:t>
      </w:r>
      <w:r w:rsidR="00C958D2">
        <w:rPr>
          <w:lang w:val="en-GB"/>
        </w:rPr>
        <w:t>ignificant isolates:</w:t>
      </w:r>
    </w:p>
    <w:p w:rsidR="00FF2F50" w:rsidRDefault="00FF2F50" w:rsidP="00FF2F50">
      <w:pPr>
        <w:pStyle w:val="ListParagraph"/>
        <w:numPr>
          <w:ilvl w:val="0"/>
          <w:numId w:val="9"/>
        </w:numPr>
        <w:rPr>
          <w:lang w:val="en-GB"/>
        </w:rPr>
      </w:pPr>
      <w:r>
        <w:rPr>
          <w:lang w:val="en-GB"/>
        </w:rPr>
        <w:t xml:space="preserve">Group A, C, and G </w:t>
      </w:r>
      <w:r w:rsidR="00EA629E">
        <w:rPr>
          <w:lang w:val="en-GB"/>
        </w:rPr>
        <w:t xml:space="preserve">beta-haemolytic </w:t>
      </w:r>
      <w:r>
        <w:rPr>
          <w:lang w:val="en-GB"/>
        </w:rPr>
        <w:t>streptococci</w:t>
      </w:r>
    </w:p>
    <w:p w:rsidR="002C531C" w:rsidRDefault="002C531C" w:rsidP="00FF2F50">
      <w:pPr>
        <w:pStyle w:val="ListParagraph"/>
        <w:numPr>
          <w:ilvl w:val="0"/>
          <w:numId w:val="9"/>
        </w:numPr>
        <w:rPr>
          <w:lang w:val="en-GB"/>
        </w:rPr>
      </w:pPr>
      <w:r>
        <w:rPr>
          <w:i/>
          <w:lang w:val="en-GB"/>
        </w:rPr>
        <w:t>Haemophilus ducreyi</w:t>
      </w:r>
    </w:p>
    <w:p w:rsidR="00EA629E" w:rsidRDefault="00EA629E" w:rsidP="00FF2F50">
      <w:pPr>
        <w:pStyle w:val="ListParagraph"/>
        <w:numPr>
          <w:ilvl w:val="0"/>
          <w:numId w:val="9"/>
        </w:numPr>
        <w:rPr>
          <w:lang w:val="en-GB"/>
        </w:rPr>
      </w:pPr>
      <w:r>
        <w:rPr>
          <w:i/>
          <w:lang w:val="en-GB"/>
        </w:rPr>
        <w:t>Neisseria gonorrhoeae</w:t>
      </w:r>
    </w:p>
    <w:p w:rsidR="00EA629E" w:rsidRPr="00FF2F50" w:rsidRDefault="00EA629E" w:rsidP="00FF2F50">
      <w:pPr>
        <w:pStyle w:val="ListParagraph"/>
        <w:numPr>
          <w:ilvl w:val="0"/>
          <w:numId w:val="9"/>
        </w:numPr>
        <w:rPr>
          <w:lang w:val="en-GB"/>
        </w:rPr>
      </w:pPr>
      <w:r>
        <w:rPr>
          <w:lang w:val="en-GB"/>
        </w:rPr>
        <w:t>Yeasts: report to the “yeasts” level (not necessary to identify further)</w:t>
      </w:r>
    </w:p>
    <w:p w:rsidR="00C958D2" w:rsidRDefault="00EA629E" w:rsidP="00BF4A7B">
      <w:pPr>
        <w:rPr>
          <w:lang w:val="en-GB"/>
        </w:rPr>
      </w:pPr>
      <w:r>
        <w:rPr>
          <w:lang w:val="en-GB"/>
        </w:rPr>
        <w:t>Other</w:t>
      </w:r>
      <w:r w:rsidR="00FF2F50">
        <w:rPr>
          <w:lang w:val="en-GB"/>
        </w:rPr>
        <w:t xml:space="preserve"> organisms may be significant in certain settings:</w:t>
      </w:r>
    </w:p>
    <w:p w:rsidR="00FF2F50" w:rsidRDefault="00FF2F50" w:rsidP="00FF2F50">
      <w:pPr>
        <w:pStyle w:val="ListParagraph"/>
        <w:numPr>
          <w:ilvl w:val="0"/>
          <w:numId w:val="9"/>
        </w:numPr>
        <w:rPr>
          <w:lang w:val="en-GB"/>
        </w:rPr>
      </w:pPr>
      <w:r>
        <w:rPr>
          <w:lang w:val="en-GB"/>
        </w:rPr>
        <w:t xml:space="preserve">Group B </w:t>
      </w:r>
      <w:r w:rsidR="00EA629E">
        <w:rPr>
          <w:lang w:val="en-GB"/>
        </w:rPr>
        <w:t xml:space="preserve">beta-haemolytic </w:t>
      </w:r>
      <w:r>
        <w:rPr>
          <w:lang w:val="en-GB"/>
        </w:rPr>
        <w:t>streptococcus: do antimicrobial susceptibilities and report</w:t>
      </w:r>
      <w:r w:rsidR="00284355">
        <w:rPr>
          <w:lang w:val="en-GB"/>
        </w:rPr>
        <w:t xml:space="preserve"> only</w:t>
      </w:r>
      <w:r>
        <w:rPr>
          <w:lang w:val="en-GB"/>
        </w:rPr>
        <w:t xml:space="preserve"> if clinical details state that the patient is pregnant.</w:t>
      </w:r>
    </w:p>
    <w:p w:rsidR="00E75290" w:rsidRDefault="00C24C8E" w:rsidP="00FF2F50">
      <w:pPr>
        <w:pStyle w:val="ListParagraph"/>
        <w:numPr>
          <w:ilvl w:val="0"/>
          <w:numId w:val="9"/>
        </w:numPr>
        <w:rPr>
          <w:lang w:val="en-GB"/>
        </w:rPr>
      </w:pPr>
      <w:r>
        <w:rPr>
          <w:lang w:val="en-GB"/>
        </w:rPr>
        <w:lastRenderedPageBreak/>
        <w:t>Coliforms: identify, do antimicrobial susceptibilities and report</w:t>
      </w:r>
      <w:r w:rsidR="00284355">
        <w:rPr>
          <w:lang w:val="en-GB"/>
        </w:rPr>
        <w:t xml:space="preserve"> only</w:t>
      </w:r>
      <w:r>
        <w:rPr>
          <w:lang w:val="en-GB"/>
        </w:rPr>
        <w:t xml:space="preserve"> if heavy pure growth. If heavy and mixed, report as “heavy growth of coliforms”</w:t>
      </w:r>
      <w:r w:rsidR="00284355">
        <w:rPr>
          <w:lang w:val="en-GB"/>
        </w:rPr>
        <w:t xml:space="preserve"> and do not perform antimicrobial </w:t>
      </w:r>
      <w:r w:rsidR="00FD2BF3">
        <w:rPr>
          <w:lang w:val="en-GB"/>
        </w:rPr>
        <w:t>susceptibilities</w:t>
      </w:r>
      <w:r>
        <w:rPr>
          <w:lang w:val="en-GB"/>
        </w:rPr>
        <w:t>.</w:t>
      </w:r>
    </w:p>
    <w:p w:rsidR="00FF2F50" w:rsidRDefault="00FF2F50" w:rsidP="00FF2F50">
      <w:pPr>
        <w:pStyle w:val="ListParagraph"/>
        <w:numPr>
          <w:ilvl w:val="0"/>
          <w:numId w:val="8"/>
        </w:numPr>
        <w:rPr>
          <w:lang w:val="en-GB"/>
        </w:rPr>
      </w:pPr>
      <w:r>
        <w:rPr>
          <w:i/>
          <w:lang w:val="en-GB"/>
        </w:rPr>
        <w:t>S. aureus</w:t>
      </w:r>
      <w:r>
        <w:rPr>
          <w:lang w:val="en-GB"/>
        </w:rPr>
        <w:t>: do antimicrobial susceptibilities and report</w:t>
      </w:r>
      <w:r w:rsidR="00284355">
        <w:rPr>
          <w:lang w:val="en-GB"/>
        </w:rPr>
        <w:t xml:space="preserve"> only</w:t>
      </w:r>
      <w:r>
        <w:rPr>
          <w:lang w:val="en-GB"/>
        </w:rPr>
        <w:t xml:space="preserve"> if heavy</w:t>
      </w:r>
      <w:r w:rsidR="00107CFF">
        <w:rPr>
          <w:lang w:val="en-GB"/>
        </w:rPr>
        <w:t xml:space="preserve"> or pure</w:t>
      </w:r>
      <w:r>
        <w:rPr>
          <w:lang w:val="en-GB"/>
        </w:rPr>
        <w:t xml:space="preserve"> growth.</w:t>
      </w:r>
    </w:p>
    <w:p w:rsidR="002C531C" w:rsidRPr="00FF2F50" w:rsidRDefault="002C531C" w:rsidP="00FF2F50">
      <w:pPr>
        <w:pStyle w:val="ListParagraph"/>
        <w:numPr>
          <w:ilvl w:val="0"/>
          <w:numId w:val="8"/>
        </w:numPr>
        <w:rPr>
          <w:lang w:val="en-GB"/>
        </w:rPr>
      </w:pPr>
      <w:r>
        <w:rPr>
          <w:lang w:val="en-GB"/>
        </w:rPr>
        <w:t>Upper respiratory tract flora (</w:t>
      </w:r>
      <w:r>
        <w:rPr>
          <w:i/>
          <w:lang w:val="en-GB"/>
        </w:rPr>
        <w:t xml:space="preserve">Haemophilus influenzae </w:t>
      </w:r>
      <w:r>
        <w:rPr>
          <w:lang w:val="en-GB"/>
        </w:rPr>
        <w:t xml:space="preserve">and </w:t>
      </w:r>
      <w:r>
        <w:rPr>
          <w:i/>
          <w:lang w:val="en-GB"/>
        </w:rPr>
        <w:t>Streptococcus pneumoniae</w:t>
      </w:r>
      <w:r>
        <w:rPr>
          <w:lang w:val="en-GB"/>
        </w:rPr>
        <w:t xml:space="preserve">): </w:t>
      </w:r>
      <w:r w:rsidR="00107CFF">
        <w:rPr>
          <w:lang w:val="en-GB"/>
        </w:rPr>
        <w:t>do antimicrobial susceptibilities and report</w:t>
      </w:r>
      <w:r w:rsidR="00284355">
        <w:rPr>
          <w:lang w:val="en-GB"/>
        </w:rPr>
        <w:t xml:space="preserve"> only</w:t>
      </w:r>
      <w:r w:rsidR="00107CFF">
        <w:rPr>
          <w:lang w:val="en-GB"/>
        </w:rPr>
        <w:t xml:space="preserve"> if heavy or pure growth.</w:t>
      </w:r>
    </w:p>
    <w:p w:rsidR="00BF4A7B" w:rsidRPr="00983F5B" w:rsidRDefault="00BF4A7B" w:rsidP="00BF4A7B">
      <w:pPr>
        <w:pStyle w:val="Heading2"/>
        <w:rPr>
          <w:lang w:val="en-GB"/>
        </w:rPr>
      </w:pPr>
      <w:r w:rsidRPr="00983F5B">
        <w:rPr>
          <w:lang w:val="en-GB"/>
        </w:rPr>
        <w:t>Antimicrobial susceptibility testing</w:t>
      </w:r>
    </w:p>
    <w:p w:rsidR="00BF4A7B" w:rsidRPr="00983F5B" w:rsidRDefault="00BF4A7B" w:rsidP="00BF4A7B">
      <w:pPr>
        <w:rPr>
          <w:lang w:val="en-GB"/>
        </w:rPr>
      </w:pPr>
      <w:r w:rsidRPr="00983F5B">
        <w:rPr>
          <w:lang w:val="en-GB"/>
        </w:rPr>
        <w:t xml:space="preserve">All significant isolates should have antimicrobial susceptibilities determined according to SOP </w:t>
      </w:r>
      <w:r w:rsidR="007740D7">
        <w:rPr>
          <w:lang w:val="en-GB"/>
        </w:rPr>
        <w:t>MIC-001</w:t>
      </w:r>
      <w:r w:rsidRPr="00983F5B">
        <w:rPr>
          <w:lang w:val="en-GB"/>
        </w:rPr>
        <w:t>.</w:t>
      </w:r>
    </w:p>
    <w:p w:rsidR="00BF4A7B" w:rsidRPr="00983F5B" w:rsidRDefault="00BF4A7B" w:rsidP="00BF4A7B">
      <w:pPr>
        <w:pStyle w:val="Heading2"/>
        <w:rPr>
          <w:lang w:val="en-GB"/>
        </w:rPr>
      </w:pPr>
      <w:r w:rsidRPr="00983F5B">
        <w:rPr>
          <w:lang w:val="en-GB"/>
        </w:rPr>
        <w:t>Reporting</w:t>
      </w:r>
    </w:p>
    <w:p w:rsidR="00654EBC" w:rsidRDefault="00654EBC" w:rsidP="00654EBC">
      <w:r w:rsidRPr="00A2583C">
        <w:t>Gram stain results: WBC and organisms detected.</w:t>
      </w:r>
      <w:r w:rsidR="00EA629E">
        <w:t xml:space="preserve"> The presence of intra-cellular Gram negative diplococci should be communicated to the clinician urgently.</w:t>
      </w:r>
    </w:p>
    <w:p w:rsidR="00654EBC" w:rsidRDefault="00B63950" w:rsidP="00654EBC">
      <w:r>
        <w:t>Wet prep results</w:t>
      </w:r>
      <w:r w:rsidR="00654EBC" w:rsidRPr="00A2583C">
        <w:t xml:space="preserve">: presence or absence of </w:t>
      </w:r>
      <w:r w:rsidR="00C178D0">
        <w:rPr>
          <w:i/>
        </w:rPr>
        <w:t xml:space="preserve">Trichomonas vaginalis </w:t>
      </w:r>
      <w:r w:rsidR="00C178D0">
        <w:t>(note presence of parasite ova if seen incidentally).</w:t>
      </w:r>
    </w:p>
    <w:p w:rsidR="00C178D0" w:rsidRPr="00C178D0" w:rsidRDefault="00C178D0" w:rsidP="00654EBC">
      <w:r>
        <w:t xml:space="preserve">Culture results: </w:t>
      </w:r>
      <w:r w:rsidRPr="00A2583C">
        <w:t xml:space="preserve">presence of significant isolates (e.g. </w:t>
      </w:r>
      <w:r>
        <w:rPr>
          <w:i/>
        </w:rPr>
        <w:t>N. gonorrhoeae</w:t>
      </w:r>
      <w:r w:rsidRPr="00A2583C">
        <w:t>); no significant growth / mixed growth of doubtful significance may be used; absence of growth.</w:t>
      </w:r>
    </w:p>
    <w:p w:rsidR="007740D7" w:rsidRPr="00093BA1" w:rsidRDefault="007740D7" w:rsidP="007740D7">
      <w:pPr>
        <w:pStyle w:val="Heading1"/>
        <w:rPr>
          <w:lang w:val="en-GB"/>
        </w:rPr>
      </w:pPr>
      <w:r w:rsidRPr="00093BA1">
        <w:rPr>
          <w:lang w:val="en-GB"/>
        </w:rPr>
        <w:t>Quality assurance</w:t>
      </w:r>
    </w:p>
    <w:p w:rsidR="007740D7" w:rsidRPr="00093BA1" w:rsidRDefault="007740D7" w:rsidP="007740D7">
      <w:pPr>
        <w:rPr>
          <w:lang w:val="en-GB"/>
        </w:rPr>
      </w:pPr>
      <w:r w:rsidRPr="00093BA1">
        <w:rPr>
          <w:lang w:val="en-GB"/>
        </w:rPr>
        <w:t>Media and identification tests should be quality controlled according to the relevant SOP.</w:t>
      </w:r>
    </w:p>
    <w:p w:rsidR="007740D7" w:rsidRPr="00093BA1" w:rsidRDefault="007740D7" w:rsidP="007740D7">
      <w:pPr>
        <w:pStyle w:val="Heading1"/>
        <w:rPr>
          <w:lang w:val="en-GB"/>
        </w:rPr>
      </w:pPr>
      <w:r w:rsidRPr="00093BA1">
        <w:rPr>
          <w:lang w:val="en-GB"/>
        </w:rPr>
        <w:t>Limitations</w:t>
      </w:r>
    </w:p>
    <w:p w:rsidR="007740D7" w:rsidRPr="00093BA1" w:rsidRDefault="007740D7" w:rsidP="007740D7">
      <w:pPr>
        <w:rPr>
          <w:lang w:val="en-GB"/>
        </w:rPr>
      </w:pPr>
      <w:r w:rsidRPr="00093BA1">
        <w:rPr>
          <w:lang w:val="en-GB"/>
        </w:rPr>
        <w:t>Prior antimicrobial use may result in negative cultures</w:t>
      </w:r>
      <w:r>
        <w:rPr>
          <w:lang w:val="en-GB"/>
        </w:rPr>
        <w:t>.</w:t>
      </w:r>
    </w:p>
    <w:p w:rsidR="00BF4A7B" w:rsidRPr="00983F5B" w:rsidRDefault="00BF4A7B" w:rsidP="00BF4A7B">
      <w:pPr>
        <w:pStyle w:val="Heading1"/>
        <w:rPr>
          <w:lang w:val="en-GB"/>
        </w:rPr>
      </w:pPr>
      <w:r w:rsidRPr="00983F5B">
        <w:rPr>
          <w:lang w:val="en-GB"/>
        </w:rPr>
        <w:t>References</w:t>
      </w:r>
    </w:p>
    <w:p w:rsidR="00BF4A7B" w:rsidRDefault="007740D7" w:rsidP="007740D7">
      <w:pPr>
        <w:pStyle w:val="ListParagraph"/>
        <w:numPr>
          <w:ilvl w:val="0"/>
          <w:numId w:val="6"/>
        </w:numPr>
        <w:rPr>
          <w:lang w:val="en-GB"/>
        </w:rPr>
      </w:pPr>
      <w:r>
        <w:rPr>
          <w:lang w:val="en-GB"/>
        </w:rPr>
        <w:t xml:space="preserve">Health Protection </w:t>
      </w:r>
      <w:r w:rsidR="004162C5">
        <w:rPr>
          <w:lang w:val="en-GB"/>
        </w:rPr>
        <w:t>A</w:t>
      </w:r>
      <w:r>
        <w:rPr>
          <w:lang w:val="en-GB"/>
        </w:rPr>
        <w:t>gency, UK SOP B24: Investigation of Genital Tract and Associated Specimens (Issue 4.3; December 2012).</w:t>
      </w:r>
    </w:p>
    <w:p w:rsidR="00AD2D4E" w:rsidRPr="00D62094" w:rsidRDefault="007740D7" w:rsidP="00D62094">
      <w:pPr>
        <w:pStyle w:val="ListParagraph"/>
        <w:numPr>
          <w:ilvl w:val="0"/>
          <w:numId w:val="6"/>
        </w:numPr>
        <w:spacing w:after="0" w:line="240" w:lineRule="auto"/>
        <w:jc w:val="left"/>
        <w:rPr>
          <w:lang w:val="en-GB"/>
        </w:rPr>
      </w:pPr>
      <w:proofErr w:type="spellStart"/>
      <w:r w:rsidRPr="00D62094">
        <w:rPr>
          <w:lang w:val="en-GB"/>
        </w:rPr>
        <w:t>Hawkey</w:t>
      </w:r>
      <w:proofErr w:type="spellEnd"/>
      <w:r w:rsidRPr="00D62094">
        <w:rPr>
          <w:lang w:val="en-GB"/>
        </w:rPr>
        <w:t xml:space="preserve">, P and Lewis, D. </w:t>
      </w:r>
      <w:r w:rsidR="009F131C" w:rsidRPr="00D62094">
        <w:rPr>
          <w:lang w:val="en-GB"/>
        </w:rPr>
        <w:t>Medical Bacter</w:t>
      </w:r>
      <w:r w:rsidRPr="00D62094">
        <w:rPr>
          <w:lang w:val="en-GB"/>
        </w:rPr>
        <w:t>iology. 2</w:t>
      </w:r>
      <w:r w:rsidRPr="00D62094">
        <w:rPr>
          <w:vertAlign w:val="superscript"/>
          <w:lang w:val="en-GB"/>
        </w:rPr>
        <w:t>nd</w:t>
      </w:r>
      <w:r w:rsidRPr="00D62094">
        <w:rPr>
          <w:lang w:val="en-GB"/>
        </w:rPr>
        <w:t xml:space="preserve"> Edition (2004). Oxford University Press.</w:t>
      </w:r>
    </w:p>
    <w:p w:rsidR="005318DB" w:rsidRDefault="005318DB" w:rsidP="00BF4A7B">
      <w:pPr>
        <w:pStyle w:val="Heading1"/>
        <w:rPr>
          <w:lang w:val="en-GB"/>
        </w:rPr>
        <w:sectPr w:rsidR="005318DB" w:rsidSect="006C64AF">
          <w:headerReference w:type="default" r:id="rId10"/>
          <w:pgSz w:w="12240" w:h="15840"/>
          <w:pgMar w:top="1440" w:right="1800" w:bottom="1440" w:left="1800" w:header="708" w:footer="708" w:gutter="0"/>
          <w:cols w:space="708"/>
          <w:docGrid w:linePitch="326"/>
        </w:sectPr>
      </w:pPr>
    </w:p>
    <w:p w:rsidR="00BF4A7B" w:rsidRPr="00983F5B" w:rsidRDefault="00BF4A7B" w:rsidP="00BF4A7B">
      <w:pPr>
        <w:pStyle w:val="Heading1"/>
        <w:rPr>
          <w:lang w:val="en-GB"/>
        </w:rPr>
      </w:pPr>
      <w:r w:rsidRPr="00983F5B">
        <w:rPr>
          <w:lang w:val="en-GB"/>
        </w:rPr>
        <w:t>Synopsis / Bench aid</w:t>
      </w:r>
    </w:p>
    <w:p w:rsidR="005318DB" w:rsidRPr="00983F5B" w:rsidRDefault="00466233" w:rsidP="00466233">
      <w:pPr>
        <w:jc w:val="center"/>
        <w:rPr>
          <w:lang w:val="en-GB"/>
        </w:rPr>
        <w:sectPr w:rsidR="005318DB" w:rsidRPr="00983F5B" w:rsidSect="005318DB">
          <w:pgSz w:w="15840" w:h="12240" w:orient="landscape"/>
          <w:pgMar w:top="1797" w:right="1440" w:bottom="1797" w:left="1440" w:header="709" w:footer="709" w:gutter="0"/>
          <w:cols w:space="708"/>
          <w:docGrid w:linePitch="326"/>
        </w:sectPr>
      </w:pPr>
      <w:r>
        <w:rPr>
          <w:noProof/>
          <w:lang w:val="en-GB" w:eastAsia="en-GB"/>
        </w:rPr>
        <w:drawing>
          <wp:inline distT="0" distB="0" distL="0" distR="0">
            <wp:extent cx="6412865" cy="4572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4572000"/>
                    </a:xfrm>
                    <a:prstGeom prst="rect">
                      <a:avLst/>
                    </a:prstGeom>
                    <a:noFill/>
                    <a:ln>
                      <a:noFill/>
                    </a:ln>
                  </pic:spPr>
                </pic:pic>
              </a:graphicData>
            </a:graphic>
          </wp:inline>
        </w:drawing>
      </w:r>
    </w:p>
    <w:p w:rsidR="00B424F6" w:rsidRPr="00983F5B" w:rsidRDefault="00BF4A7B" w:rsidP="00BF4A7B">
      <w:pPr>
        <w:pStyle w:val="Heading1"/>
        <w:rPr>
          <w:lang w:val="en-GB"/>
        </w:rPr>
      </w:pPr>
      <w:r w:rsidRPr="00983F5B">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B0105C" w:rsidRPr="00983F5B"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B0105C" w:rsidRPr="00093BA1" w:rsidRDefault="00B0105C" w:rsidP="00D52743">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B0105C" w:rsidRPr="00983F5B" w:rsidTr="007A5E14">
        <w:trPr>
          <w:trHeight w:val="524"/>
          <w:jc w:val="center"/>
        </w:trPr>
        <w:tc>
          <w:tcPr>
            <w:tcW w:w="4111" w:type="dxa"/>
            <w:tcBorders>
              <w:top w:val="single" w:sz="12"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B0105C" w:rsidRPr="00093BA1" w:rsidRDefault="00B0105C" w:rsidP="00B300CE">
            <w:pPr>
              <w:jc w:val="left"/>
              <w:rPr>
                <w:szCs w:val="24"/>
                <w:lang w:val="en-GB" w:bidi="x-none"/>
              </w:rPr>
            </w:pPr>
            <w:r w:rsidRPr="00093BA1">
              <w:rPr>
                <w:lang w:val="en-GB"/>
              </w:rPr>
              <w:t xml:space="preserve">Culture of </w:t>
            </w:r>
            <w:r>
              <w:rPr>
                <w:lang w:val="en-GB"/>
              </w:rPr>
              <w:t>genital swabs</w:t>
            </w:r>
          </w:p>
        </w:tc>
        <w:tc>
          <w:tcPr>
            <w:tcW w:w="4679" w:type="dxa"/>
            <w:tcBorders>
              <w:top w:val="single" w:sz="12"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B0105C" w:rsidRPr="00093BA1" w:rsidRDefault="00B300CE" w:rsidP="00B300CE">
            <w:pPr>
              <w:jc w:val="left"/>
              <w:rPr>
                <w:szCs w:val="24"/>
                <w:lang w:val="en-GB" w:bidi="x-none"/>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B0105C" w:rsidRPr="00983F5B" w:rsidTr="007A5E14">
        <w:trPr>
          <w:trHeight w:val="350"/>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Daily</w:t>
            </w:r>
          </w:p>
        </w:tc>
      </w:tr>
      <w:tr w:rsidR="00B0105C" w:rsidRPr="00983F5B" w:rsidTr="007A5E14">
        <w:trPr>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1. Autoclaved liquid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 xml:space="preserve">2. Potentially infectious material in sample  </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3. Potentially pathogenic bacteria</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No</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B0105C" w:rsidRPr="00093BA1" w:rsidRDefault="00B0105C"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Training in good laboratory practices (GLP)</w:t>
            </w:r>
          </w:p>
          <w:p w:rsidR="00B0105C" w:rsidRPr="00093BA1" w:rsidRDefault="00B0105C"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Appropriate PPE (lab coat, gloves, eye protection)</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cs="Helvetica"/>
                <w:color w:val="0D0D0D" w:themeColor="text1" w:themeTint="F2"/>
                <w:szCs w:val="16"/>
                <w:lang w:val="en-GB"/>
              </w:rPr>
              <w:t xml:space="preserve">3. Use of biosafety cabinet for reading of plates / follow-up of BSL-3 organisms (e.g. </w:t>
            </w:r>
            <w:r w:rsidRPr="00093BA1">
              <w:rPr>
                <w:rFonts w:eastAsia="Times New Roman" w:cs="Helvetica"/>
                <w:i/>
                <w:iCs/>
                <w:color w:val="0D0D0D" w:themeColor="text1" w:themeTint="F2"/>
                <w:szCs w:val="16"/>
                <w:lang w:val="en-GB"/>
              </w:rPr>
              <w:t>B. pseudomallei</w:t>
            </w:r>
            <w:r w:rsidRPr="00093BA1">
              <w:rPr>
                <w:rFonts w:eastAsia="Times New Roman" w:cs="Helvetica"/>
                <w:color w:val="0D0D0D" w:themeColor="text1" w:themeTint="F2"/>
                <w:szCs w:val="16"/>
                <w:lang w:val="en-GB"/>
              </w:rPr>
              <w:t>)</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B0105C" w:rsidRPr="00093BA1" w:rsidRDefault="00B0105C" w:rsidP="00D52743">
            <w:pPr>
              <w:spacing w:after="0" w:line="240" w:lineRule="auto"/>
              <w:jc w:val="left"/>
              <w:rPr>
                <w:b/>
                <w:bCs/>
                <w:szCs w:val="24"/>
                <w:lang w:val="en-GB" w:bidi="x-none"/>
              </w:rPr>
            </w:pPr>
            <w:r w:rsidRPr="00093BA1">
              <w:rPr>
                <w:szCs w:val="24"/>
                <w:lang w:val="en-GB" w:bidi="x-none"/>
              </w:rPr>
              <w:t>Observation and supervision by senior staff</w:t>
            </w:r>
          </w:p>
        </w:tc>
      </w:tr>
      <w:tr w:rsidR="00B300CE" w:rsidRPr="00983F5B" w:rsidTr="007A5E14">
        <w:trPr>
          <w:jc w:val="center"/>
        </w:trPr>
        <w:tc>
          <w:tcPr>
            <w:tcW w:w="4111" w:type="dxa"/>
            <w:tcBorders>
              <w:top w:val="single" w:sz="6" w:space="0" w:color="auto"/>
              <w:left w:val="single" w:sz="12" w:space="0" w:color="auto"/>
              <w:bottom w:val="single" w:sz="8"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B300CE" w:rsidRPr="00093BA1" w:rsidRDefault="00B300CE" w:rsidP="00D52743">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B300CE" w:rsidRPr="00093BA1" w:rsidRDefault="00B300CE" w:rsidP="00D52743">
            <w:pPr>
              <w:spacing w:after="0" w:line="240" w:lineRule="auto"/>
              <w:jc w:val="left"/>
              <w:rPr>
                <w:szCs w:val="24"/>
                <w:lang w:val="en-GB" w:bidi="x-none"/>
              </w:rPr>
            </w:pPr>
            <w:r w:rsidRPr="00093BA1">
              <w:rPr>
                <w:szCs w:val="24"/>
                <w:lang w:val="en-GB" w:bidi="x-none"/>
              </w:rPr>
              <w:t>GLP</w:t>
            </w:r>
          </w:p>
        </w:tc>
      </w:tr>
      <w:tr w:rsidR="00B300CE" w:rsidRPr="00983F5B"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B300CE" w:rsidRPr="00093BA1" w:rsidRDefault="00B300CE" w:rsidP="00D52743">
            <w:pPr>
              <w:spacing w:after="0" w:line="240" w:lineRule="auto"/>
              <w:jc w:val="left"/>
              <w:rPr>
                <w:szCs w:val="24"/>
                <w:lang w:val="en-GB" w:bidi="x-none"/>
              </w:rPr>
            </w:pPr>
            <w:r w:rsidRPr="00093BA1">
              <w:rPr>
                <w:szCs w:val="24"/>
                <w:lang w:val="en-GB" w:bidi="x-none"/>
              </w:rPr>
              <w:t>1. Report all incidents to Safety Adviser</w:t>
            </w:r>
          </w:p>
          <w:p w:rsidR="00B300CE" w:rsidRPr="00093BA1" w:rsidRDefault="00B300CE" w:rsidP="00D52743">
            <w:pPr>
              <w:spacing w:after="0" w:line="240" w:lineRule="auto"/>
              <w:jc w:val="left"/>
              <w:rPr>
                <w:szCs w:val="24"/>
                <w:lang w:val="en-GB" w:bidi="x-none"/>
              </w:rPr>
            </w:pPr>
            <w:r w:rsidRPr="00093BA1">
              <w:rPr>
                <w:szCs w:val="24"/>
                <w:lang w:val="en-GB" w:bidi="x-none"/>
              </w:rPr>
              <w:t>2. Use eyewash for splashes</w:t>
            </w:r>
          </w:p>
          <w:p w:rsidR="00B300CE" w:rsidRPr="00093BA1" w:rsidRDefault="00B300CE" w:rsidP="00D52743">
            <w:pPr>
              <w:spacing w:after="0" w:line="240" w:lineRule="auto"/>
              <w:jc w:val="left"/>
              <w:rPr>
                <w:rFonts w:eastAsia="Times New Roman"/>
                <w:color w:val="0D0D0D" w:themeColor="text1" w:themeTint="F2"/>
                <w:szCs w:val="24"/>
                <w:lang w:val="en-GB"/>
              </w:rPr>
            </w:pPr>
            <w:r w:rsidRPr="00093BA1">
              <w:rPr>
                <w:szCs w:val="24"/>
                <w:lang w:val="en-GB"/>
              </w:rPr>
              <w:t>3. Clean up spills using 1% Virkon or chemical spill kit</w:t>
            </w:r>
          </w:p>
        </w:tc>
        <w:tc>
          <w:tcPr>
            <w:tcW w:w="4679" w:type="dxa"/>
            <w:tcBorders>
              <w:top w:val="single" w:sz="8" w:space="0" w:color="auto"/>
              <w:left w:val="single" w:sz="8" w:space="0" w:color="auto"/>
              <w:bottom w:val="single" w:sz="12" w:space="0" w:color="auto"/>
              <w:right w:val="single" w:sz="12"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Sharps discarded into appropriate rigid containers for incineration</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Infectious waste discarded into autoclave bags or 1% Virkon solution prior to autoclaving and subsequent incineration</w:t>
            </w:r>
          </w:p>
          <w:p w:rsidR="00B300CE" w:rsidRPr="00093BA1" w:rsidRDefault="00B300CE" w:rsidP="00D52743">
            <w:pPr>
              <w:spacing w:after="0" w:line="240" w:lineRule="auto"/>
              <w:jc w:val="left"/>
              <w:rPr>
                <w:sz w:val="40"/>
                <w:szCs w:val="24"/>
                <w:lang w:val="en-GB" w:bidi="x-none"/>
              </w:rPr>
            </w:pPr>
            <w:r w:rsidRPr="00093BA1">
              <w:rPr>
                <w:rFonts w:eastAsia="Times New Roman" w:cs="Helvetica"/>
                <w:color w:val="0D0D0D" w:themeColor="text1" w:themeTint="F2"/>
                <w:szCs w:val="16"/>
                <w:lang w:val="en-GB"/>
              </w:rPr>
              <w:t>3. Chemical waste disposed of according to manufacturer’s instructions</w:t>
            </w:r>
          </w:p>
        </w:tc>
      </w:tr>
    </w:tbl>
    <w:p w:rsidR="00BF4A7B" w:rsidRPr="00983F5B" w:rsidRDefault="00BF4A7B" w:rsidP="00BF4A7B">
      <w:pPr>
        <w:rPr>
          <w:lang w:val="en-GB"/>
        </w:rPr>
      </w:pPr>
    </w:p>
    <w:sectPr w:rsidR="00BF4A7B" w:rsidRPr="00983F5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74" w:rsidRDefault="00EE3B74" w:rsidP="00D219C6">
      <w:r>
        <w:separator/>
      </w:r>
    </w:p>
  </w:endnote>
  <w:endnote w:type="continuationSeparator" w:id="0">
    <w:p w:rsidR="00EE3B74" w:rsidRDefault="00EE3B74"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D62094">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D62094">
      <w:rPr>
        <w:rFonts w:ascii="Century Gothic" w:hAnsi="Century Gothic"/>
        <w:noProof/>
        <w:lang w:val="en-GB"/>
      </w:rPr>
      <w:t>7</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74" w:rsidRDefault="00EE3B74" w:rsidP="00D219C6">
      <w:r>
        <w:separator/>
      </w:r>
    </w:p>
  </w:footnote>
  <w:footnote w:type="continuationSeparator" w:id="0">
    <w:p w:rsidR="00EE3B74" w:rsidRDefault="00EE3B74"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94" w:rsidRPr="00D62094" w:rsidRDefault="00D62094">
    <w:pPr>
      <w:rPr>
        <w:sz w:val="20"/>
      </w:rPr>
    </w:pPr>
    <w:r w:rsidRPr="00D62094">
      <w:rPr>
        <w:sz w:val="20"/>
      </w:rPr>
      <w:drawing>
        <wp:anchor distT="0" distB="0" distL="114300" distR="114300" simplePos="0" relativeHeight="251659264" behindDoc="0" locked="0" layoutInCell="1" allowOverlap="1" wp14:anchorId="75FC1442" wp14:editId="62A21C90">
          <wp:simplePos x="0" y="0"/>
          <wp:positionH relativeFrom="margin">
            <wp:posOffset>-520065</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D62094">
      <w:rPr>
        <w:sz w:val="20"/>
      </w:rPr>
      <mc:AlternateContent>
        <mc:Choice Requires="wps">
          <w:drawing>
            <wp:anchor distT="0" distB="0" distL="114300" distR="114300" simplePos="0" relativeHeight="251660288" behindDoc="0" locked="0" layoutInCell="1" allowOverlap="1" wp14:anchorId="002EB26F" wp14:editId="1A7FF1F1">
              <wp:simplePos x="0" y="0"/>
              <wp:positionH relativeFrom="margin">
                <wp:posOffset>2940050</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94" w:rsidRDefault="00D62094" w:rsidP="00D6209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1.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" stroked="f">
              <v:textbox>
                <w:txbxContent>
                  <w:p w:rsidR="00D62094" w:rsidRDefault="00D62094" w:rsidP="00D6209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D62094" w:rsidRPr="00D62094" w:rsidRDefault="00D62094">
    <w:pPr>
      <w:rPr>
        <w:sz w:val="20"/>
      </w:rPr>
    </w:pPr>
  </w:p>
  <w:p w:rsidR="00D62094" w:rsidRPr="00D62094" w:rsidRDefault="00D62094">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3777E8" w:rsidP="00C958D2">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C958D2">
            <w:rPr>
              <w:rFonts w:ascii="Century Gothic" w:eastAsia="Times New Roman" w:hAnsi="Century Gothic" w:cs="Arial"/>
              <w:smallCaps/>
              <w:color w:val="auto"/>
              <w:sz w:val="24"/>
              <w:szCs w:val="24"/>
              <w:lang w:val="en-GB"/>
            </w:rPr>
            <w:t>vaginal swabs</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7647B5">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Created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D62094"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94" w:rsidRPr="00D62094" w:rsidRDefault="00D62094">
    <w:pPr>
      <w:rPr>
        <w:sz w:val="20"/>
      </w:rPr>
    </w:pPr>
    <w:r w:rsidRPr="00D62094">
      <w:rPr>
        <w:sz w:val="20"/>
      </w:rPr>
      <w:drawing>
        <wp:anchor distT="0" distB="0" distL="114300" distR="114300" simplePos="0" relativeHeight="251662336" behindDoc="0" locked="0" layoutInCell="1" allowOverlap="1" wp14:anchorId="06CF5FD8" wp14:editId="5C9C85CF">
          <wp:simplePos x="0" y="0"/>
          <wp:positionH relativeFrom="margin">
            <wp:posOffset>-520065</wp:posOffset>
          </wp:positionH>
          <wp:positionV relativeFrom="margin">
            <wp:posOffset>-1871980</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D62094">
      <w:rPr>
        <w:sz w:val="20"/>
      </w:rPr>
      <mc:AlternateContent>
        <mc:Choice Requires="wps">
          <w:drawing>
            <wp:anchor distT="0" distB="0" distL="114300" distR="114300" simplePos="0" relativeHeight="251663360" behindDoc="0" locked="0" layoutInCell="1" allowOverlap="1" wp14:anchorId="3C74E494" wp14:editId="6B71C63F">
              <wp:simplePos x="0" y="0"/>
              <wp:positionH relativeFrom="margin">
                <wp:posOffset>2940050</wp:posOffset>
              </wp:positionH>
              <wp:positionV relativeFrom="paragraph">
                <wp:posOffset>-81915</wp:posOffset>
              </wp:positionV>
              <wp:extent cx="3067050" cy="5251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094" w:rsidRDefault="00D62094" w:rsidP="00D6209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1.5pt;margin-top:-6.45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y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" stroked="f">
              <v:textbox>
                <w:txbxContent>
                  <w:p w:rsidR="00D62094" w:rsidRDefault="00D62094" w:rsidP="00D6209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D62094" w:rsidRPr="00D62094" w:rsidRDefault="00D62094">
    <w:pPr>
      <w:rPr>
        <w:sz w:val="20"/>
      </w:rPr>
    </w:pPr>
  </w:p>
  <w:p w:rsidR="00D62094" w:rsidRPr="00D62094" w:rsidRDefault="00D62094">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3777E8" w:rsidP="00C958D2">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 xml:space="preserve">Culture of </w:t>
          </w:r>
          <w:r w:rsidR="00C958D2">
            <w:rPr>
              <w:rFonts w:ascii="Century Gothic" w:eastAsia="Times New Roman" w:hAnsi="Century Gothic" w:cs="Arial"/>
              <w:smallCaps/>
              <w:color w:val="auto"/>
              <w:sz w:val="24"/>
              <w:szCs w:val="24"/>
              <w:lang w:val="en-GB"/>
            </w:rPr>
            <w:t>vaginal swabs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7647B5">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D62094"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9964BE"/>
    <w:multiLevelType w:val="hybridMultilevel"/>
    <w:tmpl w:val="5B1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80D30"/>
    <w:multiLevelType w:val="hybridMultilevel"/>
    <w:tmpl w:val="135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14B39"/>
    <w:multiLevelType w:val="hybridMultilevel"/>
    <w:tmpl w:val="210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80607"/>
    <w:multiLevelType w:val="hybridMultilevel"/>
    <w:tmpl w:val="D20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904D8"/>
    <w:multiLevelType w:val="hybridMultilevel"/>
    <w:tmpl w:val="F4D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10"/>
  </w:num>
  <w:num w:numId="7">
    <w:abstractNumId w:val="4"/>
  </w:num>
  <w:num w:numId="8">
    <w:abstractNumId w:val="8"/>
  </w:num>
  <w:num w:numId="9">
    <w:abstractNumId w:val="3"/>
  </w:num>
  <w:num w:numId="10">
    <w:abstractNumId w:val="5"/>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E8"/>
    <w:rsid w:val="0000258D"/>
    <w:rsid w:val="00014B7A"/>
    <w:rsid w:val="0003682A"/>
    <w:rsid w:val="00037FFC"/>
    <w:rsid w:val="00050523"/>
    <w:rsid w:val="00052E0B"/>
    <w:rsid w:val="0006065D"/>
    <w:rsid w:val="00061722"/>
    <w:rsid w:val="00070AE6"/>
    <w:rsid w:val="000A6390"/>
    <w:rsid w:val="000C042E"/>
    <w:rsid w:val="000C0E7D"/>
    <w:rsid w:val="000D2BED"/>
    <w:rsid w:val="000D7864"/>
    <w:rsid w:val="000E42C8"/>
    <w:rsid w:val="000F6C11"/>
    <w:rsid w:val="00107CFF"/>
    <w:rsid w:val="00111502"/>
    <w:rsid w:val="0013305D"/>
    <w:rsid w:val="0013416E"/>
    <w:rsid w:val="00135CD7"/>
    <w:rsid w:val="001416B4"/>
    <w:rsid w:val="001541D0"/>
    <w:rsid w:val="00155726"/>
    <w:rsid w:val="00165CAB"/>
    <w:rsid w:val="001903EE"/>
    <w:rsid w:val="001B1A3E"/>
    <w:rsid w:val="001B2E44"/>
    <w:rsid w:val="001C0D5D"/>
    <w:rsid w:val="001C12FA"/>
    <w:rsid w:val="001C5564"/>
    <w:rsid w:val="001C78DD"/>
    <w:rsid w:val="001D3069"/>
    <w:rsid w:val="001D6CA5"/>
    <w:rsid w:val="001E1CF0"/>
    <w:rsid w:val="001F1FEE"/>
    <w:rsid w:val="00205001"/>
    <w:rsid w:val="00220450"/>
    <w:rsid w:val="002207D4"/>
    <w:rsid w:val="00222C33"/>
    <w:rsid w:val="002378B2"/>
    <w:rsid w:val="0025785F"/>
    <w:rsid w:val="00262CF1"/>
    <w:rsid w:val="002720F6"/>
    <w:rsid w:val="00273D46"/>
    <w:rsid w:val="00284355"/>
    <w:rsid w:val="00287235"/>
    <w:rsid w:val="002A0619"/>
    <w:rsid w:val="002B0540"/>
    <w:rsid w:val="002C531C"/>
    <w:rsid w:val="002D7096"/>
    <w:rsid w:val="002E454D"/>
    <w:rsid w:val="002E4C34"/>
    <w:rsid w:val="002E5A8D"/>
    <w:rsid w:val="002F06D7"/>
    <w:rsid w:val="00314692"/>
    <w:rsid w:val="003403D8"/>
    <w:rsid w:val="00342E28"/>
    <w:rsid w:val="00374FCE"/>
    <w:rsid w:val="003767D9"/>
    <w:rsid w:val="003777E8"/>
    <w:rsid w:val="003A7A8A"/>
    <w:rsid w:val="003E0700"/>
    <w:rsid w:val="003E203F"/>
    <w:rsid w:val="003E3668"/>
    <w:rsid w:val="00401CCE"/>
    <w:rsid w:val="00405ACC"/>
    <w:rsid w:val="004162C5"/>
    <w:rsid w:val="00427502"/>
    <w:rsid w:val="00430CFE"/>
    <w:rsid w:val="00445588"/>
    <w:rsid w:val="00466233"/>
    <w:rsid w:val="00477C4D"/>
    <w:rsid w:val="004927F0"/>
    <w:rsid w:val="004A35E6"/>
    <w:rsid w:val="004A37C2"/>
    <w:rsid w:val="004B5F42"/>
    <w:rsid w:val="004C4C4B"/>
    <w:rsid w:val="004C61F8"/>
    <w:rsid w:val="00515D26"/>
    <w:rsid w:val="005318DB"/>
    <w:rsid w:val="005551B7"/>
    <w:rsid w:val="005628F5"/>
    <w:rsid w:val="005651CF"/>
    <w:rsid w:val="005A1B55"/>
    <w:rsid w:val="005B251F"/>
    <w:rsid w:val="005C3BF6"/>
    <w:rsid w:val="005E02C6"/>
    <w:rsid w:val="005E2910"/>
    <w:rsid w:val="005E2D38"/>
    <w:rsid w:val="00607BC3"/>
    <w:rsid w:val="00632989"/>
    <w:rsid w:val="006538C8"/>
    <w:rsid w:val="00654EBC"/>
    <w:rsid w:val="006B133B"/>
    <w:rsid w:val="006C1DB9"/>
    <w:rsid w:val="006C4703"/>
    <w:rsid w:val="006C64AF"/>
    <w:rsid w:val="006D6F46"/>
    <w:rsid w:val="00726349"/>
    <w:rsid w:val="00726755"/>
    <w:rsid w:val="0073622C"/>
    <w:rsid w:val="00736DAA"/>
    <w:rsid w:val="00742CE0"/>
    <w:rsid w:val="0075617E"/>
    <w:rsid w:val="007647B5"/>
    <w:rsid w:val="007656C3"/>
    <w:rsid w:val="007740D7"/>
    <w:rsid w:val="0078032C"/>
    <w:rsid w:val="00797C0E"/>
    <w:rsid w:val="007B35C0"/>
    <w:rsid w:val="007C267D"/>
    <w:rsid w:val="007C4674"/>
    <w:rsid w:val="007C7203"/>
    <w:rsid w:val="007C7A94"/>
    <w:rsid w:val="007D1756"/>
    <w:rsid w:val="007E2C81"/>
    <w:rsid w:val="007F2718"/>
    <w:rsid w:val="008166E6"/>
    <w:rsid w:val="00820277"/>
    <w:rsid w:val="00827B5D"/>
    <w:rsid w:val="00831B07"/>
    <w:rsid w:val="0084638E"/>
    <w:rsid w:val="00872110"/>
    <w:rsid w:val="00890C79"/>
    <w:rsid w:val="0089285A"/>
    <w:rsid w:val="008A6CEE"/>
    <w:rsid w:val="008E5800"/>
    <w:rsid w:val="008E6A1F"/>
    <w:rsid w:val="008F1617"/>
    <w:rsid w:val="008F61D3"/>
    <w:rsid w:val="0090027C"/>
    <w:rsid w:val="00912418"/>
    <w:rsid w:val="00922F74"/>
    <w:rsid w:val="00924A58"/>
    <w:rsid w:val="00935AF1"/>
    <w:rsid w:val="00935C33"/>
    <w:rsid w:val="00960FDF"/>
    <w:rsid w:val="00983F5B"/>
    <w:rsid w:val="009914D3"/>
    <w:rsid w:val="00993F92"/>
    <w:rsid w:val="00995876"/>
    <w:rsid w:val="009C3E57"/>
    <w:rsid w:val="009C6903"/>
    <w:rsid w:val="009E09F2"/>
    <w:rsid w:val="009E0BD9"/>
    <w:rsid w:val="009E56D7"/>
    <w:rsid w:val="009F131C"/>
    <w:rsid w:val="009F1B07"/>
    <w:rsid w:val="009F1BFD"/>
    <w:rsid w:val="009F789F"/>
    <w:rsid w:val="00A10E02"/>
    <w:rsid w:val="00A254A7"/>
    <w:rsid w:val="00A2682E"/>
    <w:rsid w:val="00A53E7A"/>
    <w:rsid w:val="00A77A6A"/>
    <w:rsid w:val="00AB52D9"/>
    <w:rsid w:val="00AB694E"/>
    <w:rsid w:val="00AC12BA"/>
    <w:rsid w:val="00AD2D4E"/>
    <w:rsid w:val="00AD588F"/>
    <w:rsid w:val="00AD5A01"/>
    <w:rsid w:val="00AE2510"/>
    <w:rsid w:val="00AE5F3A"/>
    <w:rsid w:val="00AF12A5"/>
    <w:rsid w:val="00AF160A"/>
    <w:rsid w:val="00B00ECA"/>
    <w:rsid w:val="00B0105C"/>
    <w:rsid w:val="00B25A72"/>
    <w:rsid w:val="00B300CE"/>
    <w:rsid w:val="00B424F6"/>
    <w:rsid w:val="00B46F3F"/>
    <w:rsid w:val="00B537CE"/>
    <w:rsid w:val="00B62444"/>
    <w:rsid w:val="00B62F56"/>
    <w:rsid w:val="00B63950"/>
    <w:rsid w:val="00B649F2"/>
    <w:rsid w:val="00B83471"/>
    <w:rsid w:val="00B867F2"/>
    <w:rsid w:val="00B9151B"/>
    <w:rsid w:val="00B9205A"/>
    <w:rsid w:val="00BA67B7"/>
    <w:rsid w:val="00BA6835"/>
    <w:rsid w:val="00BB34D4"/>
    <w:rsid w:val="00BC2277"/>
    <w:rsid w:val="00BE36AF"/>
    <w:rsid w:val="00BE7408"/>
    <w:rsid w:val="00BF4A7B"/>
    <w:rsid w:val="00C00018"/>
    <w:rsid w:val="00C1672F"/>
    <w:rsid w:val="00C178D0"/>
    <w:rsid w:val="00C24C8E"/>
    <w:rsid w:val="00C356FF"/>
    <w:rsid w:val="00C42B46"/>
    <w:rsid w:val="00C563F1"/>
    <w:rsid w:val="00C722E9"/>
    <w:rsid w:val="00C76BBB"/>
    <w:rsid w:val="00C77F65"/>
    <w:rsid w:val="00C8267C"/>
    <w:rsid w:val="00C8635F"/>
    <w:rsid w:val="00C958D2"/>
    <w:rsid w:val="00C96A91"/>
    <w:rsid w:val="00CB272A"/>
    <w:rsid w:val="00CE0DAA"/>
    <w:rsid w:val="00CE139C"/>
    <w:rsid w:val="00D023B5"/>
    <w:rsid w:val="00D12562"/>
    <w:rsid w:val="00D219C6"/>
    <w:rsid w:val="00D24538"/>
    <w:rsid w:val="00D31D48"/>
    <w:rsid w:val="00D33D8C"/>
    <w:rsid w:val="00D36001"/>
    <w:rsid w:val="00D62094"/>
    <w:rsid w:val="00D7649D"/>
    <w:rsid w:val="00D863FC"/>
    <w:rsid w:val="00D93B2C"/>
    <w:rsid w:val="00DB76DC"/>
    <w:rsid w:val="00DC0BA6"/>
    <w:rsid w:val="00DC5A51"/>
    <w:rsid w:val="00DD0470"/>
    <w:rsid w:val="00E065D7"/>
    <w:rsid w:val="00E211A0"/>
    <w:rsid w:val="00E26FA7"/>
    <w:rsid w:val="00E33B1E"/>
    <w:rsid w:val="00E35181"/>
    <w:rsid w:val="00E45F25"/>
    <w:rsid w:val="00E47BDE"/>
    <w:rsid w:val="00E50BF5"/>
    <w:rsid w:val="00E536D4"/>
    <w:rsid w:val="00E65C0B"/>
    <w:rsid w:val="00E73FFE"/>
    <w:rsid w:val="00E75290"/>
    <w:rsid w:val="00E770E0"/>
    <w:rsid w:val="00E8035A"/>
    <w:rsid w:val="00E96D99"/>
    <w:rsid w:val="00EA1783"/>
    <w:rsid w:val="00EA629E"/>
    <w:rsid w:val="00EC4233"/>
    <w:rsid w:val="00ED071C"/>
    <w:rsid w:val="00ED1662"/>
    <w:rsid w:val="00ED1ABE"/>
    <w:rsid w:val="00EE358F"/>
    <w:rsid w:val="00EE3B74"/>
    <w:rsid w:val="00EE6353"/>
    <w:rsid w:val="00EF0D32"/>
    <w:rsid w:val="00EF0F49"/>
    <w:rsid w:val="00EF2949"/>
    <w:rsid w:val="00F20F73"/>
    <w:rsid w:val="00F306FC"/>
    <w:rsid w:val="00F3392A"/>
    <w:rsid w:val="00F3705A"/>
    <w:rsid w:val="00F602DE"/>
    <w:rsid w:val="00F92AC0"/>
    <w:rsid w:val="00F92ACC"/>
    <w:rsid w:val="00FA704D"/>
    <w:rsid w:val="00FB0AA3"/>
    <w:rsid w:val="00FB51CD"/>
    <w:rsid w:val="00FC759D"/>
    <w:rsid w:val="00FD2BF3"/>
    <w:rsid w:val="00FF2F50"/>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2914">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7</Pages>
  <Words>966</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6643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2013-06-19T01:55:00Z</cp:lastPrinted>
  <dcterms:created xsi:type="dcterms:W3CDTF">2014-03-27T16:19:00Z</dcterms:created>
  <dcterms:modified xsi:type="dcterms:W3CDTF">2014-03-27T16:19:00Z</dcterms:modified>
</cp:coreProperties>
</file>