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3" w:rsidRPr="00983F5B" w:rsidRDefault="000B2223" w:rsidP="000B2223">
      <w:pPr>
        <w:pStyle w:val="Heading1"/>
        <w:rPr>
          <w:lang w:val="en-GB"/>
        </w:rPr>
      </w:pPr>
      <w:bookmarkStart w:id="0" w:name="_GoBack"/>
      <w:bookmarkEnd w:id="0"/>
      <w:r w:rsidRPr="00983F5B">
        <w:rPr>
          <w:lang w:val="en-GB"/>
        </w:rPr>
        <w:t>Aim</w:t>
      </w:r>
    </w:p>
    <w:p w:rsidR="000B2223" w:rsidRPr="00983F5B" w:rsidRDefault="000B2223" w:rsidP="000B2223">
      <w:pPr>
        <w:rPr>
          <w:lang w:val="en-GB"/>
        </w:rPr>
      </w:pPr>
      <w:r>
        <w:rPr>
          <w:lang w:val="en-GB"/>
        </w:rPr>
        <w:t>To provide guidance on the potential significance of bacterial species isolated from clinical specimens.</w:t>
      </w:r>
    </w:p>
    <w:p w:rsidR="000B2223" w:rsidRPr="00983F5B" w:rsidRDefault="000B2223" w:rsidP="000B2223">
      <w:pPr>
        <w:pStyle w:val="Heading1"/>
        <w:rPr>
          <w:lang w:val="en-GB"/>
        </w:rPr>
      </w:pPr>
      <w:r w:rsidRPr="00983F5B">
        <w:rPr>
          <w:lang w:val="en-GB"/>
        </w:rPr>
        <w:t>Principle</w:t>
      </w:r>
    </w:p>
    <w:p w:rsidR="000B2223" w:rsidRDefault="000B2223" w:rsidP="000B2223">
      <w:pPr>
        <w:rPr>
          <w:lang w:val="en-GB"/>
        </w:rPr>
      </w:pPr>
      <w:r>
        <w:rPr>
          <w:lang w:val="en-GB"/>
        </w:rPr>
        <w:t xml:space="preserve">Any organism cultured from normally sterile sites (e.g. blood, </w:t>
      </w:r>
      <w:proofErr w:type="spellStart"/>
      <w:proofErr w:type="gramStart"/>
      <w:r>
        <w:rPr>
          <w:lang w:val="en-GB"/>
        </w:rPr>
        <w:t>csf</w:t>
      </w:r>
      <w:proofErr w:type="spellEnd"/>
      <w:proofErr w:type="gramEnd"/>
      <w:r>
        <w:rPr>
          <w:lang w:val="en-GB"/>
        </w:rPr>
        <w:t>, deep tissue) should be considered of likely clinical significance with a few exceptions, e.g. skin organisms such as coagulase negative staphylococci grown in cultures from a patient with no prosthetic material or central venous line.</w:t>
      </w:r>
    </w:p>
    <w:p w:rsidR="000B2223" w:rsidRDefault="000B2223" w:rsidP="000B2223">
      <w:pPr>
        <w:rPr>
          <w:lang w:val="en-GB"/>
        </w:rPr>
      </w:pPr>
      <w:r w:rsidRPr="00331D9C">
        <w:rPr>
          <w:lang w:val="en-GB"/>
        </w:rPr>
        <w:t>However, from superficial / colonised sites, potentially pathogenic organisms need to be identified from mixed cultures including normal microbial flora.</w:t>
      </w:r>
      <w:r>
        <w:rPr>
          <w:lang w:val="en-GB"/>
        </w:rPr>
        <w:t xml:space="preserve"> </w:t>
      </w:r>
    </w:p>
    <w:p w:rsidR="000B2223" w:rsidRDefault="000B2223" w:rsidP="000B2223">
      <w:pPr>
        <w:rPr>
          <w:lang w:val="en-GB"/>
        </w:rPr>
      </w:pPr>
      <w:r>
        <w:rPr>
          <w:lang w:val="en-GB"/>
        </w:rPr>
        <w:t>The following tables provide a guide to significant / important pathogens: however it is only a guide. If not sure, the correct procedure is to fully identify and perform antimicrobial susceptibilities on all cultured organisms from normally sterile specimens.</w:t>
      </w:r>
    </w:p>
    <w:p w:rsidR="000B2223" w:rsidRPr="00983F5B" w:rsidRDefault="000B2223" w:rsidP="000B2223">
      <w:pPr>
        <w:pStyle w:val="Heading1"/>
        <w:rPr>
          <w:lang w:val="en-GB"/>
        </w:rPr>
      </w:pPr>
      <w:r w:rsidRPr="00983F5B">
        <w:rPr>
          <w:lang w:val="en-GB"/>
        </w:rPr>
        <w:t>References</w:t>
      </w:r>
    </w:p>
    <w:p w:rsidR="000B2223" w:rsidRPr="00093BA1" w:rsidRDefault="000B2223" w:rsidP="000B222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Health Protection A</w:t>
      </w:r>
      <w:r w:rsidRPr="00093BA1">
        <w:rPr>
          <w:lang w:val="en-GB"/>
        </w:rPr>
        <w:t>gency, UK SOPs:</w:t>
      </w:r>
      <w:r>
        <w:rPr>
          <w:lang w:val="en-GB"/>
        </w:rPr>
        <w:t xml:space="preserve"> </w:t>
      </w:r>
      <w:hyperlink r:id="rId8" w:history="1">
        <w:r w:rsidRPr="00DA1A43">
          <w:rPr>
            <w:rStyle w:val="Hyperlink"/>
            <w:rFonts w:cs="Arial"/>
            <w:lang w:val="en-GB"/>
          </w:rPr>
          <w:t>http://www.hpa.org.uk/SMI/pdf</w:t>
        </w:r>
      </w:hyperlink>
      <w:r>
        <w:rPr>
          <w:lang w:val="en-GB"/>
        </w:rPr>
        <w:t>.</w:t>
      </w:r>
    </w:p>
    <w:p w:rsidR="000B2223" w:rsidRDefault="000B2223" w:rsidP="000B222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Manual of Clinical Microbiology. 9</w:t>
      </w:r>
      <w:r w:rsidRPr="00D47990">
        <w:rPr>
          <w:vertAlign w:val="superscript"/>
          <w:lang w:val="en-GB"/>
        </w:rPr>
        <w:t>th</w:t>
      </w:r>
      <w:r>
        <w:rPr>
          <w:lang w:val="en-GB"/>
        </w:rPr>
        <w:t xml:space="preserve"> Edition (2007). ASM Press.</w:t>
      </w:r>
    </w:p>
    <w:p w:rsidR="000B2223" w:rsidRDefault="000B2223" w:rsidP="000B2223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Hawkey</w:t>
      </w:r>
      <w:proofErr w:type="spellEnd"/>
      <w:r>
        <w:rPr>
          <w:lang w:val="en-GB"/>
        </w:rPr>
        <w:t>, P and Lewis, D. Medical Bacteriology. 2</w:t>
      </w:r>
      <w:r w:rsidRPr="007740D7">
        <w:rPr>
          <w:vertAlign w:val="superscript"/>
          <w:lang w:val="en-GB"/>
        </w:rPr>
        <w:t>nd</w:t>
      </w:r>
      <w:r>
        <w:rPr>
          <w:lang w:val="en-GB"/>
        </w:rPr>
        <w:t xml:space="preserve"> Edition (2004). Oxford University Press.</w:t>
      </w:r>
    </w:p>
    <w:p w:rsidR="000B2223" w:rsidRPr="00983F5B" w:rsidRDefault="000B2223" w:rsidP="000B2223">
      <w:pPr>
        <w:pStyle w:val="Heading1"/>
        <w:rPr>
          <w:lang w:val="en-GB"/>
        </w:rPr>
      </w:pPr>
      <w:r w:rsidRPr="00983F5B">
        <w:rPr>
          <w:lang w:val="en-GB"/>
        </w:rPr>
        <w:t>Risk assessment</w:t>
      </w:r>
    </w:p>
    <w:p w:rsidR="000B2223" w:rsidRPr="00983F5B" w:rsidRDefault="000B2223" w:rsidP="000B2223">
      <w:pPr>
        <w:rPr>
          <w:lang w:val="en-GB"/>
        </w:rPr>
      </w:pPr>
      <w:r>
        <w:rPr>
          <w:lang w:val="en-GB"/>
        </w:rPr>
        <w:t>Not required.</w:t>
      </w:r>
    </w:p>
    <w:p w:rsidR="00BF4A7B" w:rsidRPr="00983F5B" w:rsidRDefault="00BF4A7B" w:rsidP="00BF4A7B">
      <w:pPr>
        <w:rPr>
          <w:lang w:val="en-GB"/>
        </w:rPr>
      </w:pPr>
    </w:p>
    <w:p w:rsidR="00BF4A7B" w:rsidRPr="00983F5B" w:rsidRDefault="00BF4A7B" w:rsidP="00BF4A7B">
      <w:pPr>
        <w:rPr>
          <w:lang w:val="en-GB"/>
        </w:rPr>
        <w:sectPr w:rsidR="00BF4A7B" w:rsidRPr="00983F5B" w:rsidSect="006C64AF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26"/>
        </w:sectPr>
      </w:pPr>
    </w:p>
    <w:p w:rsidR="000B2223" w:rsidRPr="00BE039A" w:rsidRDefault="000B2223" w:rsidP="000B2223">
      <w:pPr>
        <w:pStyle w:val="Heading1"/>
        <w:rPr>
          <w:lang w:val="en-GB"/>
        </w:rPr>
      </w:pPr>
      <w:r>
        <w:rPr>
          <w:lang w:val="en-GB"/>
        </w:rPr>
        <w:lastRenderedPageBreak/>
        <w:t>S</w:t>
      </w:r>
      <w:r w:rsidRPr="00BE039A">
        <w:rPr>
          <w:lang w:val="en-GB"/>
        </w:rPr>
        <w:t>terile site specimens</w:t>
      </w:r>
    </w:p>
    <w:p w:rsidR="004E7597" w:rsidRDefault="004E7597">
      <w:pPr>
        <w:spacing w:after="0" w:line="240" w:lineRule="auto"/>
        <w:jc w:val="left"/>
        <w:rPr>
          <w:rFonts w:ascii="Century Gothic" w:eastAsia="Times New Roman" w:hAnsi="Century Gothic"/>
          <w:b/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069"/>
        <w:gridCol w:w="3011"/>
      </w:tblGrid>
      <w:tr w:rsidR="004E7597" w:rsidRPr="000B2223" w:rsidTr="00FD2EEE">
        <w:trPr>
          <w:tblHeader/>
        </w:trPr>
        <w:tc>
          <w:tcPr>
            <w:tcW w:w="2127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lastRenderedPageBreak/>
              <w:t>Specimen type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Significant isolates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Comment</w:t>
            </w:r>
          </w:p>
        </w:tc>
      </w:tr>
      <w:tr w:rsidR="004E7597" w:rsidRPr="000B2223" w:rsidTr="00FB76FA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Blood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Any growth considered potentially significant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Important pathogens (see comment):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</w:t>
            </w:r>
            <w:proofErr w:type="spellStart"/>
            <w:r w:rsidRPr="000B2223">
              <w:rPr>
                <w:szCs w:val="24"/>
                <w:lang w:val="en-GB"/>
              </w:rPr>
              <w:t>Grp</w:t>
            </w:r>
            <w:proofErr w:type="spellEnd"/>
            <w:r w:rsidRPr="000B2223">
              <w:rPr>
                <w:szCs w:val="24"/>
                <w:lang w:val="en-GB"/>
              </w:rPr>
              <w:t xml:space="preserve"> A/C/G)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pseudomallei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Coliforms (e.g. </w:t>
            </w:r>
            <w:r w:rsidRPr="000B2223">
              <w:rPr>
                <w:i/>
                <w:szCs w:val="24"/>
                <w:lang w:val="en-GB"/>
              </w:rPr>
              <w:t xml:space="preserve">K.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r w:rsidRPr="000B2223">
              <w:rPr>
                <w:i/>
                <w:szCs w:val="24"/>
                <w:lang w:val="en-GB"/>
              </w:rPr>
              <w:t>E. coli</w:t>
            </w:r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B2223">
              <w:rPr>
                <w:i/>
                <w:szCs w:val="24"/>
              </w:rPr>
              <w:t xml:space="preserve">Cryptococcus </w:t>
            </w:r>
            <w:proofErr w:type="spellStart"/>
            <w:r w:rsidRPr="000B2223">
              <w:rPr>
                <w:i/>
                <w:szCs w:val="24"/>
              </w:rPr>
              <w:t>neoformans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0B2223">
              <w:rPr>
                <w:i/>
                <w:szCs w:val="24"/>
              </w:rPr>
              <w:t xml:space="preserve">Enterococcus </w:t>
            </w:r>
            <w:r w:rsidRPr="000B2223">
              <w:rPr>
                <w:szCs w:val="24"/>
              </w:rPr>
              <w:t>spp.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Haemophilus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influenzae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(usually type B)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Cs w:val="24"/>
              </w:rPr>
            </w:pPr>
            <w:r w:rsidRPr="000B2223">
              <w:rPr>
                <w:i/>
                <w:iCs/>
                <w:szCs w:val="24"/>
              </w:rPr>
              <w:t xml:space="preserve">Listeria </w:t>
            </w:r>
            <w:proofErr w:type="spellStart"/>
            <w:r w:rsidRPr="000B2223">
              <w:rPr>
                <w:i/>
                <w:iCs/>
                <w:szCs w:val="24"/>
              </w:rPr>
              <w:t>monocytogenes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Neisseria </w:t>
            </w:r>
            <w:proofErr w:type="spellStart"/>
            <w:r w:rsidRPr="000B2223">
              <w:rPr>
                <w:i/>
                <w:szCs w:val="24"/>
                <w:lang w:val="en-GB"/>
              </w:rPr>
              <w:t>gonorrhoeae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proofErr w:type="spellStart"/>
            <w:r w:rsidRPr="000B2223">
              <w:rPr>
                <w:i/>
                <w:szCs w:val="24"/>
                <w:lang w:val="en-GB"/>
              </w:rPr>
              <w:t>meningitidis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>Pseudomonas</w:t>
            </w:r>
            <w:r w:rsidRPr="000B2223">
              <w:rPr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aeruginosa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Salmonella </w:t>
            </w:r>
            <w:r w:rsidRPr="000B2223">
              <w:rPr>
                <w:szCs w:val="24"/>
                <w:lang w:val="en-GB"/>
              </w:rPr>
              <w:t xml:space="preserve">spp. and </w:t>
            </w:r>
            <w:r w:rsidRPr="000B2223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0B2223">
              <w:rPr>
                <w:szCs w:val="24"/>
                <w:lang w:val="en-GB"/>
              </w:rPr>
              <w:t>Typhi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aureus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Streptococcus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Report as “uncertain significance” (no antimicrobial results), unless repeated positives or after discussion: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3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Alpha-haemolytic streptococci (not </w:t>
            </w:r>
            <w:r w:rsidRPr="000B2223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3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Acinetobacter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spp.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3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cepacia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3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Pseudomonas </w:t>
            </w:r>
            <w:r w:rsidRPr="000B2223">
              <w:rPr>
                <w:szCs w:val="24"/>
                <w:lang w:val="en-GB"/>
              </w:rPr>
              <w:t xml:space="preserve">spp. (not </w:t>
            </w:r>
            <w:r w:rsidRPr="000B2223">
              <w:rPr>
                <w:i/>
                <w:szCs w:val="24"/>
                <w:lang w:val="en-GB"/>
              </w:rPr>
              <w:t xml:space="preserve">P. </w:t>
            </w:r>
            <w:proofErr w:type="spellStart"/>
            <w:r w:rsidRPr="000B2223">
              <w:rPr>
                <w:i/>
                <w:szCs w:val="24"/>
                <w:lang w:val="en-GB"/>
              </w:rPr>
              <w:t>aeruginosa</w:t>
            </w:r>
            <w:proofErr w:type="spellEnd"/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3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Other unusual GNB non-fermenters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3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Yeasts (do Germ tube)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Usually contaminants: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Coagulase-negative staphylococci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GPB (</w:t>
            </w:r>
            <w:proofErr w:type="spellStart"/>
            <w:r w:rsidRPr="000B2223">
              <w:rPr>
                <w:szCs w:val="24"/>
                <w:lang w:val="en-GB"/>
              </w:rPr>
              <w:t>diphtheroids</w:t>
            </w:r>
            <w:proofErr w:type="spellEnd"/>
            <w:r w:rsidRPr="000B2223">
              <w:rPr>
                <w:szCs w:val="24"/>
                <w:lang w:val="en-GB"/>
              </w:rPr>
              <w:t xml:space="preserve">, </w:t>
            </w:r>
            <w:r w:rsidRPr="000B2223">
              <w:rPr>
                <w:i/>
                <w:szCs w:val="24"/>
                <w:lang w:val="en-GB"/>
              </w:rPr>
              <w:t xml:space="preserve">Bacillus </w:t>
            </w:r>
            <w:r w:rsidRPr="000B2223">
              <w:rPr>
                <w:szCs w:val="24"/>
                <w:lang w:val="en-GB"/>
              </w:rPr>
              <w:t>spp.)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Standard procedure is to fully identify and do antimicrobial susceptibility testing on all cultured organisms</w:t>
            </w:r>
          </w:p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Never report “no significant growth” for blood cultures</w:t>
            </w:r>
          </w:p>
        </w:tc>
      </w:tr>
    </w:tbl>
    <w:p w:rsidR="004E7597" w:rsidRDefault="004E7597" w:rsidP="004E7597">
      <w:pPr>
        <w:rPr>
          <w:rFonts w:ascii="Century Gothic" w:eastAsia="Times New Roman" w:hAnsi="Century Gothic"/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069"/>
        <w:gridCol w:w="3011"/>
      </w:tblGrid>
      <w:tr w:rsidR="004E7597" w:rsidRPr="000B2223" w:rsidTr="00FD2EEE">
        <w:trPr>
          <w:tblHeader/>
        </w:trPr>
        <w:tc>
          <w:tcPr>
            <w:tcW w:w="2127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lastRenderedPageBreak/>
              <w:t>Specimen type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Significant isolates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Comment</w:t>
            </w:r>
          </w:p>
        </w:tc>
      </w:tr>
      <w:tr w:rsidR="004E7597" w:rsidRPr="000B2223" w:rsidTr="004E7597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CSF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Any growth considered potentially significant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Important pathogens (see comment):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Cs w:val="24"/>
              </w:rPr>
            </w:pPr>
            <w:r w:rsidRPr="000B2223">
              <w:rPr>
                <w:b/>
                <w:bCs/>
                <w:szCs w:val="24"/>
              </w:rPr>
              <w:t>&lt;2 months of age</w:t>
            </w:r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Group B streptococcus</w:t>
            </w:r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jc w:val="left"/>
              <w:rPr>
                <w:i/>
                <w:iCs/>
                <w:szCs w:val="24"/>
              </w:rPr>
            </w:pPr>
            <w:r w:rsidRPr="000B2223">
              <w:rPr>
                <w:i/>
                <w:iCs/>
                <w:szCs w:val="24"/>
              </w:rPr>
              <w:t>Escherichia coli</w:t>
            </w:r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jc w:val="left"/>
              <w:rPr>
                <w:i/>
                <w:iCs/>
                <w:szCs w:val="24"/>
              </w:rPr>
            </w:pPr>
            <w:r w:rsidRPr="000B2223">
              <w:rPr>
                <w:i/>
                <w:iCs/>
                <w:szCs w:val="24"/>
              </w:rPr>
              <w:t>O</w:t>
            </w:r>
            <w:r w:rsidRPr="000B2223">
              <w:rPr>
                <w:szCs w:val="24"/>
              </w:rPr>
              <w:t xml:space="preserve">ther coliforms (e.g. </w:t>
            </w:r>
            <w:r w:rsidRPr="000B2223">
              <w:rPr>
                <w:i/>
                <w:szCs w:val="24"/>
              </w:rPr>
              <w:t xml:space="preserve">K. </w:t>
            </w:r>
            <w:proofErr w:type="spellStart"/>
            <w:r w:rsidRPr="000B2223">
              <w:rPr>
                <w:i/>
                <w:szCs w:val="24"/>
              </w:rPr>
              <w:t>pneumoniae</w:t>
            </w:r>
            <w:proofErr w:type="spellEnd"/>
            <w:r w:rsidRPr="000B2223">
              <w:rPr>
                <w:i/>
                <w:szCs w:val="24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rPr>
                <w:i/>
                <w:iCs/>
                <w:szCs w:val="24"/>
              </w:rPr>
            </w:pPr>
            <w:r w:rsidRPr="000B2223">
              <w:rPr>
                <w:i/>
                <w:iCs/>
                <w:szCs w:val="24"/>
              </w:rPr>
              <w:t xml:space="preserve">Listeria </w:t>
            </w:r>
            <w:proofErr w:type="spellStart"/>
            <w:r w:rsidRPr="000B2223">
              <w:rPr>
                <w:i/>
                <w:iCs/>
                <w:szCs w:val="24"/>
              </w:rPr>
              <w:t>monocytogenes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Cs w:val="24"/>
              </w:rPr>
            </w:pPr>
            <w:r w:rsidRPr="000B2223">
              <w:rPr>
                <w:b/>
                <w:bCs/>
                <w:szCs w:val="24"/>
              </w:rPr>
              <w:t>≥2 months</w:t>
            </w:r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Haemophilus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influenzae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(type B)</w:t>
            </w:r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rPr>
                <w:i/>
                <w:iCs/>
                <w:szCs w:val="24"/>
              </w:rPr>
            </w:pPr>
            <w:r w:rsidRPr="000B2223">
              <w:rPr>
                <w:i/>
                <w:iCs/>
                <w:szCs w:val="24"/>
              </w:rPr>
              <w:t xml:space="preserve">Neisseria </w:t>
            </w:r>
            <w:proofErr w:type="spellStart"/>
            <w:r w:rsidRPr="000B2223">
              <w:rPr>
                <w:i/>
                <w:iCs/>
                <w:szCs w:val="24"/>
              </w:rPr>
              <w:t>meningitidis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rPr>
                <w:i/>
                <w:iCs/>
                <w:szCs w:val="24"/>
              </w:rPr>
            </w:pPr>
            <w:r w:rsidRPr="000B2223">
              <w:rPr>
                <w:i/>
                <w:iCs/>
                <w:szCs w:val="24"/>
              </w:rPr>
              <w:t xml:space="preserve">Streptococcus </w:t>
            </w:r>
            <w:proofErr w:type="spellStart"/>
            <w:r w:rsidRPr="000B2223">
              <w:rPr>
                <w:i/>
                <w:iCs/>
                <w:szCs w:val="24"/>
              </w:rPr>
              <w:t>pneumoniae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rPr>
                <w:i/>
                <w:iCs/>
                <w:szCs w:val="24"/>
              </w:rPr>
            </w:pPr>
            <w:r w:rsidRPr="000B2223">
              <w:rPr>
                <w:i/>
                <w:iCs/>
                <w:szCs w:val="24"/>
              </w:rPr>
              <w:t xml:space="preserve">Streptococcus </w:t>
            </w:r>
            <w:proofErr w:type="spellStart"/>
            <w:r w:rsidRPr="000B2223">
              <w:rPr>
                <w:i/>
                <w:iCs/>
                <w:szCs w:val="24"/>
              </w:rPr>
              <w:t>suis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Cs w:val="24"/>
              </w:rPr>
            </w:pPr>
            <w:r w:rsidRPr="000B2223">
              <w:rPr>
                <w:b/>
                <w:bCs/>
                <w:szCs w:val="24"/>
              </w:rPr>
              <w:t>Others</w:t>
            </w:r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rPr>
                <w:szCs w:val="24"/>
              </w:rPr>
            </w:pPr>
            <w:r w:rsidRPr="000B2223">
              <w:rPr>
                <w:i/>
                <w:szCs w:val="24"/>
              </w:rPr>
              <w:t xml:space="preserve">Cryptococcus </w:t>
            </w:r>
            <w:proofErr w:type="spellStart"/>
            <w:r w:rsidRPr="000B2223">
              <w:rPr>
                <w:i/>
                <w:szCs w:val="24"/>
              </w:rPr>
              <w:t>neoformans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1"/>
                <w:numId w:val="12"/>
              </w:num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i/>
                <w:iCs/>
                <w:szCs w:val="24"/>
              </w:rPr>
              <w:t>Mycobacterium tuberculosis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Usually contaminants (if white blood cell count normal):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Coagulase-negative staphylococci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GPB (</w:t>
            </w:r>
            <w:proofErr w:type="spellStart"/>
            <w:r w:rsidRPr="000B2223">
              <w:rPr>
                <w:szCs w:val="24"/>
                <w:lang w:val="en-GB"/>
              </w:rPr>
              <w:t>diphtheroids</w:t>
            </w:r>
            <w:proofErr w:type="spellEnd"/>
            <w:r w:rsidRPr="000B2223">
              <w:rPr>
                <w:szCs w:val="24"/>
                <w:lang w:val="en-GB"/>
              </w:rPr>
              <w:t xml:space="preserve">, </w:t>
            </w:r>
            <w:r w:rsidRPr="000B2223">
              <w:rPr>
                <w:i/>
                <w:szCs w:val="24"/>
                <w:lang w:val="en-GB"/>
              </w:rPr>
              <w:t xml:space="preserve">Bacillus </w:t>
            </w:r>
            <w:r w:rsidRPr="000B2223">
              <w:rPr>
                <w:szCs w:val="24"/>
                <w:lang w:val="en-GB"/>
              </w:rPr>
              <w:t>spp.)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Standard procedure is to fully identify and do antimicrobial susceptibility testing on all cultured organisms</w:t>
            </w:r>
          </w:p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Never report “no significant growth” for CSF cultures</w:t>
            </w:r>
          </w:p>
        </w:tc>
      </w:tr>
    </w:tbl>
    <w:p w:rsidR="004E7597" w:rsidRDefault="004E7597" w:rsidP="004E7597">
      <w:pPr>
        <w:rPr>
          <w:lang w:val="en-GB"/>
        </w:rPr>
      </w:pPr>
    </w:p>
    <w:p w:rsidR="004E7597" w:rsidRDefault="004E7597" w:rsidP="004E7597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069"/>
        <w:gridCol w:w="3011"/>
      </w:tblGrid>
      <w:tr w:rsidR="004E7597" w:rsidRPr="000B2223" w:rsidTr="00FD2EEE">
        <w:trPr>
          <w:tblHeader/>
        </w:trPr>
        <w:tc>
          <w:tcPr>
            <w:tcW w:w="2127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Specimen type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Significant isolates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Comment</w:t>
            </w:r>
          </w:p>
        </w:tc>
      </w:tr>
      <w:tr w:rsidR="004E7597" w:rsidRPr="000B2223" w:rsidTr="004E7597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Pus (sterile site)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Sterile fluids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Tissue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Important pathogens (see comment):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</w:t>
            </w:r>
            <w:proofErr w:type="spellStart"/>
            <w:r w:rsidRPr="000B2223">
              <w:rPr>
                <w:szCs w:val="24"/>
                <w:lang w:val="en-GB"/>
              </w:rPr>
              <w:t>Grp</w:t>
            </w:r>
            <w:proofErr w:type="spellEnd"/>
            <w:r w:rsidRPr="000B2223">
              <w:rPr>
                <w:szCs w:val="24"/>
                <w:lang w:val="en-GB"/>
              </w:rPr>
              <w:t xml:space="preserve"> A/B/C/G)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pseudomallei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Coliforms (e.g. </w:t>
            </w:r>
            <w:r w:rsidRPr="000B2223">
              <w:rPr>
                <w:i/>
                <w:szCs w:val="24"/>
                <w:lang w:val="en-GB"/>
              </w:rPr>
              <w:t xml:space="preserve">K.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r w:rsidRPr="000B2223">
              <w:rPr>
                <w:i/>
                <w:szCs w:val="24"/>
                <w:lang w:val="en-GB"/>
              </w:rPr>
              <w:t xml:space="preserve">E. coli / Salmonella </w:t>
            </w:r>
            <w:r w:rsidRPr="000B2223">
              <w:rPr>
                <w:szCs w:val="24"/>
                <w:lang w:val="en-GB"/>
              </w:rPr>
              <w:t>spp.)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0B2223">
              <w:rPr>
                <w:i/>
                <w:szCs w:val="24"/>
              </w:rPr>
              <w:t xml:space="preserve">Cryptococcus </w:t>
            </w:r>
            <w:proofErr w:type="spellStart"/>
            <w:r w:rsidRPr="000B2223">
              <w:rPr>
                <w:i/>
                <w:szCs w:val="24"/>
              </w:rPr>
              <w:t>neoformans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0B2223">
              <w:rPr>
                <w:i/>
                <w:szCs w:val="24"/>
              </w:rPr>
              <w:t xml:space="preserve">Enterococcus </w:t>
            </w:r>
            <w:r w:rsidRPr="000B2223">
              <w:rPr>
                <w:szCs w:val="24"/>
              </w:rPr>
              <w:t>spp.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Haemophilus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influenzae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(usually type B)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Cs w:val="24"/>
              </w:rPr>
            </w:pPr>
            <w:r w:rsidRPr="000B2223">
              <w:rPr>
                <w:i/>
                <w:iCs/>
                <w:szCs w:val="24"/>
              </w:rPr>
              <w:t xml:space="preserve">Listeria </w:t>
            </w:r>
            <w:proofErr w:type="spellStart"/>
            <w:r w:rsidRPr="000B2223">
              <w:rPr>
                <w:i/>
                <w:iCs/>
                <w:szCs w:val="24"/>
              </w:rPr>
              <w:t>monocytogenes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Neisseria </w:t>
            </w:r>
            <w:proofErr w:type="spellStart"/>
            <w:r w:rsidRPr="000B2223">
              <w:rPr>
                <w:i/>
                <w:szCs w:val="24"/>
                <w:lang w:val="en-GB"/>
              </w:rPr>
              <w:t>gonorrhoeae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proofErr w:type="spellStart"/>
            <w:r w:rsidRPr="000B2223">
              <w:rPr>
                <w:i/>
                <w:szCs w:val="24"/>
                <w:lang w:val="en-GB"/>
              </w:rPr>
              <w:t>meningitidis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Nocardia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spp.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>Pseudomonas</w:t>
            </w:r>
            <w:r w:rsidRPr="000B2223">
              <w:rPr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aeruginosa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aureus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Streptococcus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anginosus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group (</w:t>
            </w:r>
            <w:proofErr w:type="spellStart"/>
            <w:r w:rsidRPr="000B2223">
              <w:rPr>
                <w:szCs w:val="24"/>
                <w:lang w:val="en-GB"/>
              </w:rPr>
              <w:t>Grp</w:t>
            </w:r>
            <w:proofErr w:type="spellEnd"/>
            <w:r w:rsidRPr="000B2223">
              <w:rPr>
                <w:szCs w:val="24"/>
                <w:lang w:val="en-GB"/>
              </w:rPr>
              <w:t xml:space="preserve"> F)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Streptococcus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Fungi (ID with </w:t>
            </w:r>
            <w:proofErr w:type="spellStart"/>
            <w:r w:rsidRPr="000B2223">
              <w:rPr>
                <w:szCs w:val="24"/>
                <w:lang w:val="en-GB"/>
              </w:rPr>
              <w:t>lactophenol</w:t>
            </w:r>
            <w:proofErr w:type="spellEnd"/>
            <w:r w:rsidRPr="000B2223">
              <w:rPr>
                <w:szCs w:val="24"/>
                <w:lang w:val="en-GB"/>
              </w:rPr>
              <w:t xml:space="preserve"> blue prep)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Yeasts (do Germ tube)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Note: any growth should be considered significant: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Coagulase-negative staphylococci and GPB (</w:t>
            </w:r>
            <w:proofErr w:type="spellStart"/>
            <w:r w:rsidRPr="000B2223">
              <w:rPr>
                <w:szCs w:val="24"/>
                <w:lang w:val="en-GB"/>
              </w:rPr>
              <w:t>diphtheroids</w:t>
            </w:r>
            <w:proofErr w:type="spellEnd"/>
            <w:r w:rsidRPr="000B2223">
              <w:rPr>
                <w:szCs w:val="24"/>
                <w:lang w:val="en-GB"/>
              </w:rPr>
              <w:t xml:space="preserve">, </w:t>
            </w:r>
            <w:r w:rsidRPr="000B2223">
              <w:rPr>
                <w:i/>
                <w:szCs w:val="24"/>
                <w:lang w:val="en-GB"/>
              </w:rPr>
              <w:t xml:space="preserve">Bacillus </w:t>
            </w:r>
            <w:r w:rsidRPr="000B2223">
              <w:rPr>
                <w:szCs w:val="24"/>
                <w:lang w:val="en-GB"/>
              </w:rPr>
              <w:t>spp.) may only be considered as potential contaminants after discussion on the board round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4"/>
              </w:numPr>
              <w:jc w:val="left"/>
              <w:rPr>
                <w:szCs w:val="24"/>
                <w:lang w:val="en-GB"/>
              </w:rPr>
            </w:pPr>
            <w:r w:rsidRPr="008E473A">
              <w:rPr>
                <w:szCs w:val="24"/>
                <w:lang w:val="fr-FR"/>
              </w:rPr>
              <w:t>GNB non-</w:t>
            </w:r>
            <w:proofErr w:type="spellStart"/>
            <w:r w:rsidRPr="008E473A">
              <w:rPr>
                <w:szCs w:val="24"/>
                <w:lang w:val="fr-FR"/>
              </w:rPr>
              <w:t>fermenters</w:t>
            </w:r>
            <w:proofErr w:type="spellEnd"/>
            <w:r w:rsidRPr="008E473A">
              <w:rPr>
                <w:szCs w:val="24"/>
                <w:lang w:val="fr-FR"/>
              </w:rPr>
              <w:t xml:space="preserve"> (</w:t>
            </w:r>
            <w:proofErr w:type="spellStart"/>
            <w:r w:rsidRPr="008E473A">
              <w:rPr>
                <w:szCs w:val="24"/>
                <w:lang w:val="fr-FR"/>
              </w:rPr>
              <w:t>e.g</w:t>
            </w:r>
            <w:proofErr w:type="spellEnd"/>
            <w:r w:rsidRPr="008E473A">
              <w:rPr>
                <w:szCs w:val="24"/>
                <w:lang w:val="fr-FR"/>
              </w:rPr>
              <w:t xml:space="preserve">. </w:t>
            </w:r>
            <w:proofErr w:type="spellStart"/>
            <w:r w:rsidRPr="008E473A">
              <w:rPr>
                <w:i/>
                <w:szCs w:val="24"/>
                <w:lang w:val="fr-FR"/>
              </w:rPr>
              <w:t>Acinetobacter</w:t>
            </w:r>
            <w:proofErr w:type="spellEnd"/>
            <w:r w:rsidRPr="008E473A">
              <w:rPr>
                <w:i/>
                <w:szCs w:val="24"/>
                <w:lang w:val="fr-FR"/>
              </w:rPr>
              <w:t xml:space="preserve"> </w:t>
            </w:r>
            <w:proofErr w:type="spellStart"/>
            <w:r w:rsidRPr="008E473A">
              <w:rPr>
                <w:szCs w:val="24"/>
                <w:lang w:val="fr-FR"/>
              </w:rPr>
              <w:t>spp</w:t>
            </w:r>
            <w:proofErr w:type="spellEnd"/>
            <w:r w:rsidRPr="008E473A">
              <w:rPr>
                <w:szCs w:val="24"/>
                <w:lang w:val="fr-FR"/>
              </w:rPr>
              <w:t xml:space="preserve">. </w:t>
            </w:r>
            <w:r w:rsidRPr="000B2223">
              <w:rPr>
                <w:i/>
                <w:szCs w:val="24"/>
                <w:lang w:val="en-GB"/>
              </w:rPr>
              <w:t xml:space="preserve">Pseudomonas </w:t>
            </w:r>
            <w:r w:rsidRPr="000B2223">
              <w:rPr>
                <w:szCs w:val="24"/>
                <w:lang w:val="en-GB"/>
              </w:rPr>
              <w:t>spp.) should be fully identified and have antimicrobial susceptibility testing done (unless considered likely contaminant on the board round)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Standard procedure is to fully identify and do antimicrobial susceptibility testing on all cultured organisms</w:t>
            </w:r>
          </w:p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Mixed coliforms / enterococci cultured from abdominal surgical specimens (e.g. “acute appendicitis”) may be reported as “mixed growth of faecal flora” without full ID and antimicrobial susceptibility testing</w:t>
            </w:r>
          </w:p>
        </w:tc>
      </w:tr>
    </w:tbl>
    <w:p w:rsidR="004E7597" w:rsidRDefault="004E7597" w:rsidP="004E7597">
      <w:pPr>
        <w:rPr>
          <w:lang w:val="en-GB"/>
        </w:rPr>
      </w:pPr>
    </w:p>
    <w:p w:rsidR="004E7597" w:rsidRDefault="004E7597" w:rsidP="004E7597">
      <w:pPr>
        <w:rPr>
          <w:lang w:val="en-GB"/>
        </w:rPr>
      </w:pPr>
      <w:r>
        <w:rPr>
          <w:lang w:val="en-GB"/>
        </w:rPr>
        <w:br w:type="page"/>
      </w:r>
    </w:p>
    <w:p w:rsidR="00F82B42" w:rsidRPr="000B2223" w:rsidRDefault="00F82B42" w:rsidP="00F82B42">
      <w:pPr>
        <w:pStyle w:val="Heading1"/>
        <w:rPr>
          <w:rFonts w:ascii="Arial Narrow" w:hAnsi="Arial Narrow"/>
          <w:szCs w:val="24"/>
          <w:lang w:val="en-GB"/>
        </w:rPr>
      </w:pPr>
      <w:r w:rsidRPr="000B2223">
        <w:rPr>
          <w:rFonts w:ascii="Arial Narrow" w:hAnsi="Arial Narrow"/>
          <w:szCs w:val="24"/>
          <w:lang w:val="en-GB"/>
        </w:rPr>
        <w:t xml:space="preserve">Non-sterile </w:t>
      </w:r>
      <w:r w:rsidRPr="000B2223">
        <w:rPr>
          <w:rFonts w:ascii="Arial Narrow" w:hAnsi="Arial Narrow"/>
          <w:szCs w:val="24"/>
        </w:rPr>
        <w:t>site</w:t>
      </w:r>
      <w:r w:rsidRPr="000B2223">
        <w:rPr>
          <w:rFonts w:ascii="Arial Narrow" w:hAnsi="Arial Narrow"/>
          <w:szCs w:val="24"/>
          <w:lang w:val="en-GB"/>
        </w:rPr>
        <w:t xml:space="preserve"> specimens</w:t>
      </w:r>
    </w:p>
    <w:p w:rsidR="004E7597" w:rsidRDefault="004E7597" w:rsidP="004E7597">
      <w:pPr>
        <w:rPr>
          <w:lang w:val="en-GB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069"/>
        <w:gridCol w:w="3011"/>
      </w:tblGrid>
      <w:tr w:rsidR="004E7597" w:rsidRPr="000B2223" w:rsidTr="00FD2EEE">
        <w:trPr>
          <w:tblHeader/>
        </w:trPr>
        <w:tc>
          <w:tcPr>
            <w:tcW w:w="2127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Specimen type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Significant isolates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Comment</w:t>
            </w:r>
          </w:p>
        </w:tc>
      </w:tr>
      <w:tr w:rsidR="004E7597" w:rsidRPr="000B2223" w:rsidTr="004E7597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Pus swab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(non-sterile site)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Skin swab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Wound swab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Always report: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Bacillus </w:t>
            </w:r>
            <w:proofErr w:type="spellStart"/>
            <w:r w:rsidRPr="000B2223">
              <w:rPr>
                <w:i/>
                <w:szCs w:val="24"/>
                <w:lang w:val="en-GB"/>
              </w:rPr>
              <w:t>anthracis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</w:t>
            </w:r>
            <w:proofErr w:type="spellStart"/>
            <w:r w:rsidRPr="000B2223">
              <w:rPr>
                <w:szCs w:val="24"/>
                <w:lang w:val="en-GB"/>
              </w:rPr>
              <w:t>Grp</w:t>
            </w:r>
            <w:proofErr w:type="spellEnd"/>
            <w:r w:rsidRPr="000B2223">
              <w:rPr>
                <w:szCs w:val="24"/>
                <w:lang w:val="en-GB"/>
              </w:rPr>
              <w:t xml:space="preserve"> A/C/G)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pseudomallei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Corynebacterium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diphtheriae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proofErr w:type="spellStart"/>
            <w:r w:rsidRPr="000B2223">
              <w:rPr>
                <w:i/>
                <w:szCs w:val="24"/>
                <w:lang w:val="en-GB"/>
              </w:rPr>
              <w:t>ulcerans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Haemophilus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influenzae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aureus</w:t>
            </w:r>
            <w:proofErr w:type="spellEnd"/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Always report (important in selected specimens):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8E473A">
              <w:rPr>
                <w:i/>
                <w:szCs w:val="24"/>
                <w:lang w:val="fr-FR"/>
              </w:rPr>
              <w:t>Capnocytophaga</w:t>
            </w:r>
            <w:proofErr w:type="spellEnd"/>
            <w:r w:rsidRPr="008E473A">
              <w:rPr>
                <w:i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8E473A">
              <w:rPr>
                <w:szCs w:val="24"/>
                <w:lang w:val="fr-FR"/>
              </w:rPr>
              <w:t>spp</w:t>
            </w:r>
            <w:proofErr w:type="spellEnd"/>
            <w:r w:rsidRPr="008E473A">
              <w:rPr>
                <w:szCs w:val="24"/>
                <w:lang w:val="fr-FR"/>
              </w:rPr>
              <w:t>.,</w:t>
            </w:r>
            <w:proofErr w:type="gramEnd"/>
            <w:r w:rsidRPr="008E473A">
              <w:rPr>
                <w:szCs w:val="24"/>
                <w:lang w:val="fr-FR"/>
              </w:rPr>
              <w:t xml:space="preserve"> </w:t>
            </w:r>
            <w:proofErr w:type="spellStart"/>
            <w:r w:rsidRPr="008E473A">
              <w:rPr>
                <w:i/>
                <w:szCs w:val="24"/>
                <w:lang w:val="fr-FR"/>
              </w:rPr>
              <w:t>Eikenella</w:t>
            </w:r>
            <w:proofErr w:type="spellEnd"/>
            <w:r w:rsidRPr="008E473A">
              <w:rPr>
                <w:i/>
                <w:szCs w:val="24"/>
                <w:lang w:val="fr-FR"/>
              </w:rPr>
              <w:t xml:space="preserve"> </w:t>
            </w:r>
            <w:proofErr w:type="spellStart"/>
            <w:r w:rsidRPr="008E473A">
              <w:rPr>
                <w:szCs w:val="24"/>
                <w:lang w:val="fr-FR"/>
              </w:rPr>
              <w:t>spp</w:t>
            </w:r>
            <w:proofErr w:type="spellEnd"/>
            <w:r w:rsidRPr="008E473A">
              <w:rPr>
                <w:szCs w:val="24"/>
                <w:lang w:val="fr-FR"/>
              </w:rPr>
              <w:t xml:space="preserve">., </w:t>
            </w:r>
            <w:r w:rsidRPr="008E473A">
              <w:rPr>
                <w:i/>
                <w:szCs w:val="24"/>
                <w:lang w:val="fr-FR"/>
              </w:rPr>
              <w:t xml:space="preserve">Pasteurella </w:t>
            </w:r>
            <w:proofErr w:type="spellStart"/>
            <w:r w:rsidRPr="008E473A">
              <w:rPr>
                <w:szCs w:val="24"/>
                <w:lang w:val="fr-FR"/>
              </w:rPr>
              <w:t>spp</w:t>
            </w:r>
            <w:proofErr w:type="spellEnd"/>
            <w:r w:rsidRPr="008E473A">
              <w:rPr>
                <w:szCs w:val="24"/>
                <w:lang w:val="fr-FR"/>
              </w:rPr>
              <w:t xml:space="preserve">. </w:t>
            </w:r>
            <w:r w:rsidRPr="000B2223">
              <w:rPr>
                <w:szCs w:val="24"/>
                <w:lang w:val="en-GB"/>
              </w:rPr>
              <w:t>(bites)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Aeromonas</w:t>
            </w:r>
            <w:proofErr w:type="spellEnd"/>
            <w:r w:rsidRPr="000B2223">
              <w:rPr>
                <w:szCs w:val="24"/>
                <w:lang w:val="en-GB"/>
              </w:rPr>
              <w:t xml:space="preserve"> spp., </w:t>
            </w:r>
            <w:r w:rsidRPr="000B2223">
              <w:rPr>
                <w:i/>
                <w:szCs w:val="24"/>
                <w:lang w:val="en-GB"/>
              </w:rPr>
              <w:t>Vibrio</w:t>
            </w:r>
            <w:r w:rsidRPr="000B2223">
              <w:rPr>
                <w:szCs w:val="24"/>
                <w:lang w:val="en-GB"/>
              </w:rPr>
              <w:t xml:space="preserve"> spp. (water exposure)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Pseudomonas </w:t>
            </w:r>
            <w:proofErr w:type="spellStart"/>
            <w:r w:rsidRPr="000B2223">
              <w:rPr>
                <w:i/>
                <w:szCs w:val="24"/>
                <w:lang w:val="en-GB"/>
              </w:rPr>
              <w:t>aeruginosa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(burns)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Listeria </w:t>
            </w:r>
            <w:proofErr w:type="spellStart"/>
            <w:r w:rsidRPr="000B2223">
              <w:rPr>
                <w:i/>
                <w:szCs w:val="24"/>
                <w:lang w:val="en-GB"/>
              </w:rPr>
              <w:t>monocytogenes</w:t>
            </w:r>
            <w:proofErr w:type="spellEnd"/>
            <w:r w:rsidRPr="000B2223">
              <w:rPr>
                <w:szCs w:val="24"/>
                <w:lang w:val="en-GB"/>
              </w:rPr>
              <w:t xml:space="preserve">, </w:t>
            </w:r>
            <w:r w:rsidRPr="000B2223">
              <w:rPr>
                <w:i/>
                <w:szCs w:val="24"/>
                <w:lang w:val="en-GB"/>
              </w:rPr>
              <w:t xml:space="preserve">Neisseria </w:t>
            </w:r>
            <w:proofErr w:type="spellStart"/>
            <w:r w:rsidRPr="000B2223">
              <w:rPr>
                <w:i/>
                <w:szCs w:val="24"/>
                <w:lang w:val="en-GB"/>
              </w:rPr>
              <w:t>gonorrhoeae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(neonates)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Streptococcus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anginosus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group (</w:t>
            </w:r>
            <w:proofErr w:type="spellStart"/>
            <w:r w:rsidRPr="000B2223">
              <w:rPr>
                <w:szCs w:val="24"/>
                <w:lang w:val="en-GB"/>
              </w:rPr>
              <w:t>Grp</w:t>
            </w:r>
            <w:proofErr w:type="spellEnd"/>
            <w:r w:rsidRPr="000B2223">
              <w:rPr>
                <w:szCs w:val="24"/>
                <w:lang w:val="en-GB"/>
              </w:rPr>
              <w:t xml:space="preserve"> F), </w:t>
            </w:r>
            <w:r w:rsidRPr="000B2223">
              <w:rPr>
                <w:i/>
                <w:szCs w:val="24"/>
                <w:lang w:val="en-GB"/>
              </w:rPr>
              <w:t xml:space="preserve">Streptococcus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szCs w:val="24"/>
                <w:lang w:val="en-GB"/>
              </w:rPr>
              <w:t xml:space="preserve">, </w:t>
            </w:r>
            <w:proofErr w:type="spellStart"/>
            <w:r w:rsidRPr="000B2223">
              <w:rPr>
                <w:i/>
                <w:szCs w:val="24"/>
                <w:lang w:val="en-GB"/>
              </w:rPr>
              <w:t>Nocardia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spp. (abscesses)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Only report if pure and / or heavy: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Coliforms (e.g. </w:t>
            </w:r>
            <w:r w:rsidRPr="000B2223">
              <w:rPr>
                <w:i/>
                <w:szCs w:val="24"/>
                <w:lang w:val="en-GB"/>
              </w:rPr>
              <w:t xml:space="preserve">K.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r w:rsidRPr="000B2223">
              <w:rPr>
                <w:i/>
                <w:szCs w:val="24"/>
                <w:lang w:val="en-GB"/>
              </w:rPr>
              <w:t>E. coli</w:t>
            </w:r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Enterococcus </w:t>
            </w:r>
            <w:r w:rsidRPr="000B2223">
              <w:rPr>
                <w:szCs w:val="24"/>
                <w:lang w:val="en-GB"/>
              </w:rPr>
              <w:t>spp.</w:t>
            </w:r>
          </w:p>
          <w:p w:rsidR="004E7597" w:rsidRPr="008E473A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fr-FR"/>
              </w:rPr>
            </w:pPr>
            <w:r w:rsidRPr="008E473A">
              <w:rPr>
                <w:szCs w:val="24"/>
                <w:lang w:val="fr-FR"/>
              </w:rPr>
              <w:t>GNB non-</w:t>
            </w:r>
            <w:proofErr w:type="spellStart"/>
            <w:r w:rsidRPr="008E473A">
              <w:rPr>
                <w:szCs w:val="24"/>
                <w:lang w:val="fr-FR"/>
              </w:rPr>
              <w:t>fermenters</w:t>
            </w:r>
            <w:proofErr w:type="spellEnd"/>
            <w:r w:rsidRPr="008E473A">
              <w:rPr>
                <w:szCs w:val="24"/>
                <w:lang w:val="fr-FR"/>
              </w:rPr>
              <w:t xml:space="preserve"> (</w:t>
            </w:r>
            <w:proofErr w:type="spellStart"/>
            <w:r w:rsidRPr="008E473A">
              <w:rPr>
                <w:szCs w:val="24"/>
                <w:lang w:val="fr-FR"/>
              </w:rPr>
              <w:t>e.g</w:t>
            </w:r>
            <w:proofErr w:type="spellEnd"/>
            <w:r w:rsidRPr="008E473A">
              <w:rPr>
                <w:szCs w:val="24"/>
                <w:lang w:val="fr-FR"/>
              </w:rPr>
              <w:t xml:space="preserve">. </w:t>
            </w:r>
            <w:r w:rsidRPr="008E473A">
              <w:rPr>
                <w:i/>
                <w:szCs w:val="24"/>
                <w:lang w:val="fr-FR"/>
              </w:rPr>
              <w:t xml:space="preserve">Pseudomonas </w:t>
            </w:r>
            <w:proofErr w:type="spellStart"/>
            <w:r w:rsidRPr="008E473A">
              <w:rPr>
                <w:szCs w:val="24"/>
                <w:lang w:val="fr-FR"/>
              </w:rPr>
              <w:t>spp</w:t>
            </w:r>
            <w:proofErr w:type="spellEnd"/>
            <w:r w:rsidRPr="008E473A">
              <w:rPr>
                <w:szCs w:val="24"/>
                <w:lang w:val="fr-FR"/>
              </w:rPr>
              <w:t>.)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Yeasts (report as “yeasts”)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</w:p>
        </w:tc>
      </w:tr>
    </w:tbl>
    <w:p w:rsidR="00F82B42" w:rsidRDefault="00F82B42" w:rsidP="004E7597">
      <w:pPr>
        <w:rPr>
          <w:lang w:val="en-GB"/>
        </w:rPr>
      </w:pPr>
    </w:p>
    <w:p w:rsidR="00F82B42" w:rsidRDefault="00F82B42" w:rsidP="00F82B42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069"/>
        <w:gridCol w:w="3011"/>
      </w:tblGrid>
      <w:tr w:rsidR="00F82B42" w:rsidRPr="000B2223" w:rsidTr="00FD2EEE">
        <w:trPr>
          <w:tblHeader/>
        </w:trPr>
        <w:tc>
          <w:tcPr>
            <w:tcW w:w="2127" w:type="dxa"/>
            <w:shd w:val="clear" w:color="auto" w:fill="BFBFBF" w:themeFill="background1" w:themeFillShade="BF"/>
          </w:tcPr>
          <w:p w:rsidR="00F82B42" w:rsidRPr="000B2223" w:rsidRDefault="00F82B42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Specimen type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F82B42" w:rsidRPr="000B2223" w:rsidRDefault="00F82B42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Significant isolates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:rsidR="00F82B42" w:rsidRPr="000B2223" w:rsidRDefault="00F82B42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Comment</w:t>
            </w:r>
          </w:p>
        </w:tc>
      </w:tr>
      <w:tr w:rsidR="00F82B42" w:rsidRPr="000B2223" w:rsidTr="00FB76FA">
        <w:tc>
          <w:tcPr>
            <w:tcW w:w="2127" w:type="dxa"/>
          </w:tcPr>
          <w:p w:rsidR="00F82B42" w:rsidRPr="000B2223" w:rsidRDefault="00F82B42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Ear swab</w:t>
            </w:r>
          </w:p>
          <w:p w:rsidR="00F82B42" w:rsidRPr="000B2223" w:rsidRDefault="00F82B42" w:rsidP="00FB76FA">
            <w:pPr>
              <w:jc w:val="left"/>
              <w:rPr>
                <w:b/>
                <w:szCs w:val="24"/>
                <w:lang w:val="en-GB"/>
              </w:rPr>
            </w:pPr>
          </w:p>
          <w:p w:rsidR="00F82B42" w:rsidRPr="000B2223" w:rsidRDefault="00F82B42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Eye swab</w:t>
            </w:r>
          </w:p>
        </w:tc>
        <w:tc>
          <w:tcPr>
            <w:tcW w:w="5069" w:type="dxa"/>
          </w:tcPr>
          <w:p w:rsidR="00F82B42" w:rsidRPr="000B2223" w:rsidRDefault="00F82B42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Always report:</w:t>
            </w:r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</w:t>
            </w:r>
            <w:proofErr w:type="spellStart"/>
            <w:r w:rsidRPr="000B2223">
              <w:rPr>
                <w:szCs w:val="24"/>
                <w:lang w:val="en-GB"/>
              </w:rPr>
              <w:t>Grp</w:t>
            </w:r>
            <w:proofErr w:type="spellEnd"/>
            <w:r w:rsidRPr="000B2223">
              <w:rPr>
                <w:szCs w:val="24"/>
                <w:lang w:val="en-GB"/>
              </w:rPr>
              <w:t xml:space="preserve"> A/C/G)</w:t>
            </w:r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pseudomallei</w:t>
            </w:r>
            <w:proofErr w:type="spellEnd"/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Haemophilus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influenzae</w:t>
            </w:r>
            <w:proofErr w:type="spellEnd"/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Moraxella </w:t>
            </w:r>
            <w:proofErr w:type="spellStart"/>
            <w:r w:rsidRPr="000B2223">
              <w:rPr>
                <w:i/>
                <w:szCs w:val="24"/>
                <w:lang w:val="en-GB"/>
              </w:rPr>
              <w:t>catarrhalis</w:t>
            </w:r>
            <w:proofErr w:type="spellEnd"/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Neisseria </w:t>
            </w:r>
            <w:proofErr w:type="spellStart"/>
            <w:r w:rsidRPr="000B2223">
              <w:rPr>
                <w:i/>
                <w:szCs w:val="24"/>
                <w:lang w:val="en-GB"/>
              </w:rPr>
              <w:t>gonorrhoeae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(eye swabs only)</w:t>
            </w:r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>Pseudomonas</w:t>
            </w:r>
            <w:r w:rsidRPr="000B2223">
              <w:rPr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aeruginosa</w:t>
            </w:r>
            <w:proofErr w:type="spellEnd"/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aureus</w:t>
            </w:r>
            <w:proofErr w:type="spellEnd"/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Streptococcus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Fungi (ID with </w:t>
            </w:r>
            <w:proofErr w:type="spellStart"/>
            <w:r w:rsidRPr="000B2223">
              <w:rPr>
                <w:szCs w:val="24"/>
                <w:lang w:val="en-GB"/>
              </w:rPr>
              <w:t>lactophenol</w:t>
            </w:r>
            <w:proofErr w:type="spellEnd"/>
            <w:r w:rsidRPr="000B2223">
              <w:rPr>
                <w:szCs w:val="24"/>
                <w:lang w:val="en-GB"/>
              </w:rPr>
              <w:t xml:space="preserve"> blue prep)</w:t>
            </w:r>
          </w:p>
          <w:p w:rsidR="00F82B42" w:rsidRPr="000B2223" w:rsidRDefault="00F82B42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Report at a lower ID level:</w:t>
            </w:r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11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Coliforms should be reported as “coliforms”: do not ID or do antimicrobial susceptibilities</w:t>
            </w:r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11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Non-</w:t>
            </w:r>
            <w:r w:rsidRPr="000B2223">
              <w:rPr>
                <w:i/>
                <w:szCs w:val="24"/>
                <w:lang w:val="en-GB"/>
              </w:rPr>
              <w:t xml:space="preserve">P. </w:t>
            </w:r>
            <w:proofErr w:type="spellStart"/>
            <w:r w:rsidRPr="000B2223">
              <w:rPr>
                <w:i/>
                <w:szCs w:val="24"/>
                <w:lang w:val="en-GB"/>
              </w:rPr>
              <w:t>aeruginosa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pseudomonads should be reported as “pseudomonads”: do not ID or do antimicrobial susceptibilities</w:t>
            </w:r>
          </w:p>
          <w:p w:rsidR="00F82B42" w:rsidRPr="000B2223" w:rsidRDefault="00F82B42" w:rsidP="00FB76FA">
            <w:pPr>
              <w:pStyle w:val="ListParagraph"/>
              <w:numPr>
                <w:ilvl w:val="0"/>
                <w:numId w:val="11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Yeasts should be reported as “yeasts”</w:t>
            </w:r>
          </w:p>
        </w:tc>
        <w:tc>
          <w:tcPr>
            <w:tcW w:w="3011" w:type="dxa"/>
          </w:tcPr>
          <w:p w:rsidR="00F82B42" w:rsidRPr="000B2223" w:rsidRDefault="00F82B42" w:rsidP="00FB76FA">
            <w:pPr>
              <w:jc w:val="left"/>
              <w:rPr>
                <w:szCs w:val="24"/>
                <w:lang w:val="en-GB"/>
              </w:rPr>
            </w:pPr>
          </w:p>
        </w:tc>
      </w:tr>
    </w:tbl>
    <w:p w:rsidR="004E7597" w:rsidRDefault="004E7597" w:rsidP="004E7597">
      <w:pPr>
        <w:rPr>
          <w:lang w:val="en-GB"/>
        </w:rPr>
      </w:pPr>
    </w:p>
    <w:p w:rsidR="004E7597" w:rsidRDefault="004E7597" w:rsidP="004E7597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069"/>
        <w:gridCol w:w="3011"/>
      </w:tblGrid>
      <w:tr w:rsidR="004E7597" w:rsidRPr="000B2223" w:rsidTr="00FD2EEE">
        <w:trPr>
          <w:tblHeader/>
        </w:trPr>
        <w:tc>
          <w:tcPr>
            <w:tcW w:w="2127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Specimen type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Significant isolates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Comment</w:t>
            </w:r>
          </w:p>
        </w:tc>
      </w:tr>
      <w:tr w:rsidR="004E7597" w:rsidRPr="000B2223" w:rsidTr="004E7597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Sputum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ETT aspirate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Always report: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</w:t>
            </w:r>
            <w:proofErr w:type="spellStart"/>
            <w:r w:rsidRPr="000B2223">
              <w:rPr>
                <w:szCs w:val="24"/>
                <w:lang w:val="en-GB"/>
              </w:rPr>
              <w:t>Grp</w:t>
            </w:r>
            <w:proofErr w:type="spellEnd"/>
            <w:r w:rsidRPr="000B2223">
              <w:rPr>
                <w:szCs w:val="24"/>
                <w:lang w:val="en-GB"/>
              </w:rPr>
              <w:t xml:space="preserve"> A/C/G)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pseudomallei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Haemophilus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influenzae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Moraxella </w:t>
            </w:r>
            <w:proofErr w:type="spellStart"/>
            <w:r w:rsidRPr="000B2223">
              <w:rPr>
                <w:i/>
                <w:szCs w:val="24"/>
                <w:lang w:val="en-GB"/>
              </w:rPr>
              <w:t>catarrhalis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aureus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Streptococcus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7"/>
              </w:numPr>
              <w:jc w:val="left"/>
              <w:rPr>
                <w:i/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Fungi (ID with </w:t>
            </w:r>
            <w:proofErr w:type="spellStart"/>
            <w:r w:rsidRPr="000B2223">
              <w:rPr>
                <w:szCs w:val="24"/>
                <w:lang w:val="en-GB"/>
              </w:rPr>
              <w:t>lactophenol</w:t>
            </w:r>
            <w:proofErr w:type="spellEnd"/>
            <w:r w:rsidRPr="000B2223">
              <w:rPr>
                <w:szCs w:val="24"/>
                <w:lang w:val="en-GB"/>
              </w:rPr>
              <w:t xml:space="preserve"> blue prep)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Only report if pure and / or heavy: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Coliforms (e.g. </w:t>
            </w:r>
            <w:r w:rsidRPr="000B2223">
              <w:rPr>
                <w:i/>
                <w:szCs w:val="24"/>
                <w:lang w:val="en-GB"/>
              </w:rPr>
              <w:t xml:space="preserve">K.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r w:rsidRPr="000B2223">
              <w:rPr>
                <w:i/>
                <w:szCs w:val="24"/>
                <w:lang w:val="en-GB"/>
              </w:rPr>
              <w:t>E. coli</w:t>
            </w:r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Gram negative non-fermenters (e.g. </w:t>
            </w:r>
            <w:proofErr w:type="spellStart"/>
            <w:r w:rsidRPr="000B2223">
              <w:rPr>
                <w:i/>
                <w:szCs w:val="24"/>
                <w:lang w:val="en-GB"/>
              </w:rPr>
              <w:t>Acinetobacter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spp., </w:t>
            </w:r>
            <w:r w:rsidRPr="000B2223">
              <w:rPr>
                <w:i/>
                <w:szCs w:val="24"/>
                <w:lang w:val="en-GB"/>
              </w:rPr>
              <w:t xml:space="preserve">B. </w:t>
            </w:r>
            <w:proofErr w:type="spellStart"/>
            <w:r w:rsidRPr="000B2223">
              <w:rPr>
                <w:i/>
                <w:szCs w:val="24"/>
                <w:lang w:val="en-GB"/>
              </w:rPr>
              <w:t>cepacia</w:t>
            </w:r>
            <w:proofErr w:type="spellEnd"/>
            <w:r w:rsidRPr="000B2223">
              <w:rPr>
                <w:szCs w:val="24"/>
                <w:lang w:val="en-GB"/>
              </w:rPr>
              <w:t xml:space="preserve">, </w:t>
            </w:r>
            <w:proofErr w:type="spellStart"/>
            <w:r w:rsidRPr="000B2223">
              <w:rPr>
                <w:i/>
                <w:szCs w:val="24"/>
                <w:lang w:val="en-GB"/>
              </w:rPr>
              <w:t>Stenotrophomonas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maltophilia</w:t>
            </w:r>
            <w:proofErr w:type="spellEnd"/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>Pseudomonas</w:t>
            </w:r>
            <w:r w:rsidRPr="000B2223">
              <w:rPr>
                <w:szCs w:val="24"/>
                <w:lang w:val="en-GB"/>
              </w:rPr>
              <w:t xml:space="preserve"> spp. (incl. </w:t>
            </w:r>
            <w:r w:rsidRPr="000B2223">
              <w:rPr>
                <w:i/>
                <w:szCs w:val="24"/>
                <w:lang w:val="en-GB"/>
              </w:rPr>
              <w:t xml:space="preserve">P. </w:t>
            </w:r>
            <w:proofErr w:type="spellStart"/>
            <w:r w:rsidRPr="000B2223">
              <w:rPr>
                <w:i/>
                <w:szCs w:val="24"/>
                <w:lang w:val="en-GB"/>
              </w:rPr>
              <w:t>aeruginosa</w:t>
            </w:r>
            <w:proofErr w:type="spellEnd"/>
            <w:r w:rsidRPr="000B2223">
              <w:rPr>
                <w:szCs w:val="24"/>
                <w:lang w:val="en-GB"/>
              </w:rPr>
              <w:t>)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Heavily mixed cultures should be interpreted with caution (in conjunction with Gram stain result): presence of many epithelial cells implies upper respiratory tract contamination</w:t>
            </w:r>
          </w:p>
        </w:tc>
      </w:tr>
      <w:tr w:rsidR="004E7597" w:rsidRPr="000B2223" w:rsidTr="004E7597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Throat swab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Always report: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(Groups A / C / G)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pseudomallei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Corynebacterium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diphtheriae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proofErr w:type="spellStart"/>
            <w:r w:rsidRPr="000B2223">
              <w:rPr>
                <w:szCs w:val="24"/>
                <w:lang w:val="en-GB"/>
              </w:rPr>
              <w:t>ulcerans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Neisseria </w:t>
            </w:r>
            <w:proofErr w:type="spellStart"/>
            <w:r w:rsidRPr="000B2223">
              <w:rPr>
                <w:i/>
                <w:szCs w:val="24"/>
                <w:lang w:val="en-GB"/>
              </w:rPr>
              <w:t>gonorrhoeae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Yeasts (report as “yeasts”) – if SAB plate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Do not report other organisms</w:t>
            </w:r>
          </w:p>
        </w:tc>
      </w:tr>
    </w:tbl>
    <w:p w:rsidR="004E7597" w:rsidRDefault="004E7597" w:rsidP="004E7597">
      <w:pPr>
        <w:rPr>
          <w:lang w:val="en-GB"/>
        </w:rPr>
      </w:pPr>
    </w:p>
    <w:p w:rsidR="004E7597" w:rsidRDefault="004E7597" w:rsidP="004E7597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069"/>
        <w:gridCol w:w="3011"/>
      </w:tblGrid>
      <w:tr w:rsidR="004E7597" w:rsidRPr="000B2223" w:rsidTr="00FD2EEE">
        <w:trPr>
          <w:tblHeader/>
        </w:trPr>
        <w:tc>
          <w:tcPr>
            <w:tcW w:w="2127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Specimen type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Significant isolates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:rsidR="004E7597" w:rsidRPr="000B2223" w:rsidRDefault="004E7597" w:rsidP="00FB76FA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szCs w:val="24"/>
                <w:lang w:val="en-GB"/>
              </w:rPr>
            </w:pPr>
            <w:r w:rsidRPr="000B2223">
              <w:rPr>
                <w:rFonts w:ascii="Arial Narrow" w:hAnsi="Arial Narrow"/>
                <w:color w:val="000000" w:themeColor="text1"/>
                <w:szCs w:val="24"/>
                <w:lang w:val="en-GB"/>
              </w:rPr>
              <w:t>Comment</w:t>
            </w:r>
          </w:p>
        </w:tc>
      </w:tr>
      <w:tr w:rsidR="004E7597" w:rsidRPr="000B2223" w:rsidTr="004E7597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Faeces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tabs>
                <w:tab w:val="left" w:pos="1234"/>
              </w:tabs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Always report: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0"/>
              </w:numPr>
              <w:tabs>
                <w:tab w:val="left" w:pos="1234"/>
              </w:tabs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Salmonella </w:t>
            </w:r>
            <w:r w:rsidRPr="000B2223">
              <w:rPr>
                <w:szCs w:val="24"/>
                <w:lang w:val="en-GB"/>
              </w:rPr>
              <w:t>spp.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10"/>
              </w:numPr>
              <w:tabs>
                <w:tab w:val="left" w:pos="1234"/>
              </w:tabs>
              <w:jc w:val="left"/>
              <w:rPr>
                <w:b/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Shigella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>spp.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</w:p>
        </w:tc>
      </w:tr>
      <w:tr w:rsidR="004E7597" w:rsidRPr="000B2223" w:rsidTr="004E7597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Urine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If &gt;10</w:t>
            </w:r>
            <w:r w:rsidRPr="000B2223">
              <w:rPr>
                <w:b/>
                <w:szCs w:val="24"/>
                <w:vertAlign w:val="superscript"/>
                <w:lang w:val="en-GB"/>
              </w:rPr>
              <w:t xml:space="preserve">5 </w:t>
            </w:r>
            <w:proofErr w:type="spellStart"/>
            <w:r w:rsidRPr="000B2223">
              <w:rPr>
                <w:b/>
                <w:szCs w:val="24"/>
                <w:lang w:val="en-GB"/>
              </w:rPr>
              <w:t>cfu</w:t>
            </w:r>
            <w:proofErr w:type="spellEnd"/>
            <w:r w:rsidRPr="000B2223">
              <w:rPr>
                <w:b/>
                <w:szCs w:val="24"/>
                <w:lang w:val="en-GB"/>
              </w:rPr>
              <w:t>/ml (pure / mixed) or 10</w:t>
            </w:r>
            <w:r w:rsidRPr="000B2223">
              <w:rPr>
                <w:b/>
                <w:szCs w:val="24"/>
                <w:vertAlign w:val="superscript"/>
                <w:lang w:val="en-GB"/>
              </w:rPr>
              <w:t>4</w:t>
            </w:r>
            <w:r w:rsidRPr="000B2223">
              <w:rPr>
                <w:b/>
                <w:szCs w:val="24"/>
                <w:lang w:val="en-GB"/>
              </w:rPr>
              <w:t>-10</w:t>
            </w:r>
            <w:r w:rsidRPr="000B2223">
              <w:rPr>
                <w:b/>
                <w:szCs w:val="24"/>
                <w:vertAlign w:val="superscript"/>
                <w:lang w:val="en-GB"/>
              </w:rPr>
              <w:t xml:space="preserve">5 </w:t>
            </w:r>
            <w:proofErr w:type="spellStart"/>
            <w:r w:rsidRPr="000B2223">
              <w:rPr>
                <w:b/>
                <w:szCs w:val="24"/>
                <w:lang w:val="en-GB"/>
              </w:rPr>
              <w:t>cfu</w:t>
            </w:r>
            <w:proofErr w:type="spellEnd"/>
            <w:r w:rsidRPr="000B2223">
              <w:rPr>
                <w:b/>
                <w:szCs w:val="24"/>
                <w:lang w:val="en-GB"/>
              </w:rPr>
              <w:t>/ml (pure):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(Group B)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pseudomallei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Coliforms (e.g. </w:t>
            </w:r>
            <w:r w:rsidRPr="000B2223">
              <w:rPr>
                <w:i/>
                <w:szCs w:val="24"/>
                <w:lang w:val="en-GB"/>
              </w:rPr>
              <w:t xml:space="preserve">K.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r w:rsidRPr="000B2223">
              <w:rPr>
                <w:i/>
                <w:szCs w:val="24"/>
                <w:lang w:val="en-GB"/>
              </w:rPr>
              <w:t>E. coli</w:t>
            </w:r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Enterococcus </w:t>
            </w:r>
            <w:r w:rsidRPr="000B2223">
              <w:rPr>
                <w:szCs w:val="24"/>
                <w:lang w:val="en-GB"/>
              </w:rPr>
              <w:t>spp.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aureus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saprophyticus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>Pseudomonas</w:t>
            </w:r>
            <w:r w:rsidRPr="000B2223">
              <w:rPr>
                <w:szCs w:val="24"/>
                <w:lang w:val="en-GB"/>
              </w:rPr>
              <w:t xml:space="preserve"> spp. (incl. </w:t>
            </w:r>
            <w:r w:rsidRPr="000B2223">
              <w:rPr>
                <w:i/>
                <w:szCs w:val="24"/>
                <w:lang w:val="en-GB"/>
              </w:rPr>
              <w:t xml:space="preserve">P. </w:t>
            </w:r>
            <w:proofErr w:type="spellStart"/>
            <w:r w:rsidRPr="000B2223">
              <w:rPr>
                <w:i/>
                <w:szCs w:val="24"/>
                <w:lang w:val="en-GB"/>
              </w:rPr>
              <w:t>aeruginosa</w:t>
            </w:r>
            <w:proofErr w:type="spellEnd"/>
            <w:r w:rsidRPr="000B2223">
              <w:rPr>
                <w:szCs w:val="24"/>
                <w:lang w:val="en-GB"/>
              </w:rPr>
              <w:t>)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If &gt;2 organisms, report “mixed growth of &gt;2 organisms”</w:t>
            </w:r>
          </w:p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</w:p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Other organisms may be reported if in significant numbers</w:t>
            </w:r>
          </w:p>
        </w:tc>
      </w:tr>
      <w:tr w:rsidR="004E7597" w:rsidRPr="000B2223" w:rsidTr="004E7597">
        <w:tc>
          <w:tcPr>
            <w:tcW w:w="2127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Vaginal swab</w:t>
            </w:r>
          </w:p>
        </w:tc>
        <w:tc>
          <w:tcPr>
            <w:tcW w:w="5069" w:type="dxa"/>
          </w:tcPr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Always report: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</w:t>
            </w:r>
            <w:proofErr w:type="spellStart"/>
            <w:r w:rsidRPr="000B2223">
              <w:rPr>
                <w:szCs w:val="24"/>
                <w:lang w:val="en-GB"/>
              </w:rPr>
              <w:t>Grp</w:t>
            </w:r>
            <w:proofErr w:type="spellEnd"/>
            <w:r w:rsidRPr="000B2223">
              <w:rPr>
                <w:szCs w:val="24"/>
                <w:lang w:val="en-GB"/>
              </w:rPr>
              <w:t xml:space="preserve"> A/C/G)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Burkholderia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pseudomallei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proofErr w:type="spellStart"/>
            <w:r w:rsidRPr="000B2223">
              <w:rPr>
                <w:i/>
                <w:szCs w:val="24"/>
                <w:lang w:val="en-GB"/>
              </w:rPr>
              <w:t>Haemophilus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0B2223">
              <w:rPr>
                <w:i/>
                <w:szCs w:val="24"/>
                <w:lang w:val="en-GB"/>
              </w:rPr>
              <w:t>ducreyi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Neisseria </w:t>
            </w:r>
            <w:proofErr w:type="spellStart"/>
            <w:r w:rsidRPr="000B2223">
              <w:rPr>
                <w:i/>
                <w:szCs w:val="24"/>
                <w:lang w:val="en-GB"/>
              </w:rPr>
              <w:t>gonorrhoeae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Yeasts (report as “yeasts”)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Only report if pure and / or heavy: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Coliforms (e.g. </w:t>
            </w:r>
            <w:r w:rsidRPr="000B2223">
              <w:rPr>
                <w:i/>
                <w:szCs w:val="24"/>
                <w:lang w:val="en-GB"/>
              </w:rPr>
              <w:t xml:space="preserve">K.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i/>
                <w:szCs w:val="24"/>
                <w:lang w:val="en-GB"/>
              </w:rPr>
              <w:t xml:space="preserve"> </w:t>
            </w:r>
            <w:r w:rsidRPr="000B2223">
              <w:rPr>
                <w:szCs w:val="24"/>
                <w:lang w:val="en-GB"/>
              </w:rPr>
              <w:t xml:space="preserve">/ </w:t>
            </w:r>
            <w:r w:rsidRPr="000B2223">
              <w:rPr>
                <w:i/>
                <w:szCs w:val="24"/>
                <w:lang w:val="en-GB"/>
              </w:rPr>
              <w:t>E. coli</w:t>
            </w:r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 w:rsidRPr="000B2223">
              <w:rPr>
                <w:i/>
                <w:szCs w:val="24"/>
                <w:lang w:val="en-GB"/>
              </w:rPr>
              <w:t>aureus</w:t>
            </w:r>
            <w:proofErr w:type="spellEnd"/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 xml:space="preserve">Upper respiratory organisms (e.g. </w:t>
            </w:r>
            <w:r w:rsidRPr="000B2223">
              <w:rPr>
                <w:i/>
                <w:szCs w:val="24"/>
                <w:lang w:val="en-GB"/>
              </w:rPr>
              <w:t xml:space="preserve">H. </w:t>
            </w:r>
            <w:proofErr w:type="spellStart"/>
            <w:r w:rsidRPr="000B2223">
              <w:rPr>
                <w:i/>
                <w:szCs w:val="24"/>
                <w:lang w:val="en-GB"/>
              </w:rPr>
              <w:t>influenzae</w:t>
            </w:r>
            <w:proofErr w:type="spellEnd"/>
            <w:r w:rsidRPr="000B2223">
              <w:rPr>
                <w:szCs w:val="24"/>
                <w:lang w:val="en-GB"/>
              </w:rPr>
              <w:t xml:space="preserve">, </w:t>
            </w:r>
            <w:r w:rsidRPr="000B2223">
              <w:rPr>
                <w:i/>
                <w:szCs w:val="24"/>
                <w:lang w:val="en-GB"/>
              </w:rPr>
              <w:t xml:space="preserve">M. </w:t>
            </w:r>
            <w:proofErr w:type="spellStart"/>
            <w:r w:rsidRPr="000B2223">
              <w:rPr>
                <w:i/>
                <w:szCs w:val="24"/>
                <w:lang w:val="en-GB"/>
              </w:rPr>
              <w:t>catarrhalis</w:t>
            </w:r>
            <w:proofErr w:type="spellEnd"/>
            <w:r w:rsidRPr="000B2223">
              <w:rPr>
                <w:szCs w:val="24"/>
                <w:lang w:val="en-GB"/>
              </w:rPr>
              <w:t xml:space="preserve">, </w:t>
            </w:r>
            <w:r w:rsidRPr="000B2223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0B2223">
              <w:rPr>
                <w:i/>
                <w:szCs w:val="24"/>
                <w:lang w:val="en-GB"/>
              </w:rPr>
              <w:t>pneumoniae</w:t>
            </w:r>
            <w:proofErr w:type="spellEnd"/>
            <w:r w:rsidRPr="000B2223">
              <w:rPr>
                <w:szCs w:val="24"/>
                <w:lang w:val="en-GB"/>
              </w:rPr>
              <w:t>)</w:t>
            </w:r>
          </w:p>
          <w:p w:rsidR="004E7597" w:rsidRPr="000B2223" w:rsidRDefault="004E7597" w:rsidP="00FB76FA">
            <w:pPr>
              <w:jc w:val="left"/>
              <w:rPr>
                <w:b/>
                <w:szCs w:val="24"/>
                <w:lang w:val="en-GB"/>
              </w:rPr>
            </w:pPr>
            <w:r w:rsidRPr="000B2223">
              <w:rPr>
                <w:b/>
                <w:szCs w:val="24"/>
                <w:lang w:val="en-GB"/>
              </w:rPr>
              <w:t>Only report if request form states “pregnant”:</w:t>
            </w:r>
          </w:p>
          <w:p w:rsidR="004E7597" w:rsidRPr="000B2223" w:rsidRDefault="004E7597" w:rsidP="00FB76FA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Beta-haemolytic streptococci (Group B)</w:t>
            </w:r>
          </w:p>
        </w:tc>
        <w:tc>
          <w:tcPr>
            <w:tcW w:w="3011" w:type="dxa"/>
          </w:tcPr>
          <w:p w:rsidR="004E7597" w:rsidRPr="000B2223" w:rsidRDefault="004E7597" w:rsidP="00FB76FA">
            <w:pPr>
              <w:jc w:val="left"/>
              <w:rPr>
                <w:szCs w:val="24"/>
                <w:lang w:val="en-GB"/>
              </w:rPr>
            </w:pPr>
            <w:r w:rsidRPr="000B2223">
              <w:rPr>
                <w:szCs w:val="24"/>
                <w:lang w:val="en-GB"/>
              </w:rPr>
              <w:t>Report heavy mixed growths of coliforms as “heavy growth of coliforms” (do not ID or do antimicrobial susceptibilities)</w:t>
            </w:r>
          </w:p>
        </w:tc>
      </w:tr>
    </w:tbl>
    <w:p w:rsidR="004E7597" w:rsidRPr="004E7597" w:rsidRDefault="004E7597" w:rsidP="004E7597">
      <w:pPr>
        <w:rPr>
          <w:lang w:val="en-GB"/>
        </w:rPr>
      </w:pPr>
    </w:p>
    <w:sectPr w:rsidR="004E7597" w:rsidRPr="004E7597" w:rsidSect="0054537A">
      <w:headerReference w:type="default" r:id="rId11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1C" w:rsidRDefault="0045371C" w:rsidP="00D219C6">
      <w:r>
        <w:separator/>
      </w:r>
    </w:p>
  </w:endnote>
  <w:endnote w:type="continuationSeparator" w:id="0">
    <w:p w:rsidR="0045371C" w:rsidRDefault="0045371C" w:rsidP="00D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0" w:rsidRPr="00983F5B" w:rsidRDefault="00DD0470" w:rsidP="00052E0B">
    <w:pPr>
      <w:pStyle w:val="Footer"/>
      <w:jc w:val="center"/>
      <w:rPr>
        <w:rFonts w:ascii="Century Gothic" w:hAnsi="Century Gothic"/>
        <w:lang w:val="en-GB"/>
      </w:rPr>
    </w:pPr>
    <w:r w:rsidRPr="00983F5B">
      <w:rPr>
        <w:rFonts w:ascii="Century Gothic" w:hAnsi="Century Gothic"/>
        <w:lang w:val="en-GB"/>
      </w:rPr>
      <w:t xml:space="preserve">Page </w:t>
    </w:r>
    <w:r w:rsidRPr="00983F5B">
      <w:rPr>
        <w:rFonts w:ascii="Century Gothic" w:hAnsi="Century Gothic"/>
        <w:lang w:val="en-GB"/>
      </w:rPr>
      <w:fldChar w:fldCharType="begin"/>
    </w:r>
    <w:r w:rsidRPr="00983F5B">
      <w:rPr>
        <w:rFonts w:ascii="Century Gothic" w:hAnsi="Century Gothic"/>
        <w:lang w:val="en-GB"/>
      </w:rPr>
      <w:instrText xml:space="preserve"> PAGE  \* Arabic  \* MERGEFORMAT </w:instrText>
    </w:r>
    <w:r w:rsidRPr="00983F5B">
      <w:rPr>
        <w:rFonts w:ascii="Century Gothic" w:hAnsi="Century Gothic"/>
        <w:lang w:val="en-GB"/>
      </w:rPr>
      <w:fldChar w:fldCharType="separate"/>
    </w:r>
    <w:r w:rsidR="0032511D">
      <w:rPr>
        <w:rFonts w:ascii="Century Gothic" w:hAnsi="Century Gothic"/>
        <w:noProof/>
        <w:lang w:val="en-GB"/>
      </w:rPr>
      <w:t>1</w:t>
    </w:r>
    <w:r w:rsidRPr="00983F5B">
      <w:rPr>
        <w:rFonts w:ascii="Century Gothic" w:hAnsi="Century Gothic"/>
        <w:lang w:val="en-GB"/>
      </w:rPr>
      <w:fldChar w:fldCharType="end"/>
    </w:r>
    <w:r w:rsidRPr="00983F5B">
      <w:rPr>
        <w:rFonts w:ascii="Century Gothic" w:hAnsi="Century Gothic"/>
        <w:lang w:val="en-GB"/>
      </w:rPr>
      <w:t xml:space="preserve"> of </w:t>
    </w:r>
    <w:r w:rsidRPr="00983F5B">
      <w:rPr>
        <w:rFonts w:ascii="Century Gothic" w:hAnsi="Century Gothic"/>
        <w:lang w:val="en-GB"/>
      </w:rPr>
      <w:fldChar w:fldCharType="begin"/>
    </w:r>
    <w:r w:rsidRPr="00983F5B">
      <w:rPr>
        <w:rFonts w:ascii="Century Gothic" w:hAnsi="Century Gothic"/>
        <w:lang w:val="en-GB"/>
      </w:rPr>
      <w:instrText xml:space="preserve"> NUMPAGES  \* Arabic  \* MERGEFORMAT </w:instrText>
    </w:r>
    <w:r w:rsidRPr="00983F5B">
      <w:rPr>
        <w:rFonts w:ascii="Century Gothic" w:hAnsi="Century Gothic"/>
        <w:lang w:val="en-GB"/>
      </w:rPr>
      <w:fldChar w:fldCharType="separate"/>
    </w:r>
    <w:r w:rsidR="0032511D">
      <w:rPr>
        <w:rFonts w:ascii="Century Gothic" w:hAnsi="Century Gothic"/>
        <w:noProof/>
        <w:lang w:val="en-GB"/>
      </w:rPr>
      <w:t>9</w:t>
    </w:r>
    <w:r w:rsidRPr="00983F5B">
      <w:rPr>
        <w:rFonts w:ascii="Century Gothic" w:hAnsi="Century Gothic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1C" w:rsidRDefault="0045371C" w:rsidP="00D219C6">
      <w:r>
        <w:separator/>
      </w:r>
    </w:p>
  </w:footnote>
  <w:footnote w:type="continuationSeparator" w:id="0">
    <w:p w:rsidR="0045371C" w:rsidRDefault="0045371C" w:rsidP="00D2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3A" w:rsidRPr="008E473A" w:rsidRDefault="008E473A">
    <w:pPr>
      <w:rPr>
        <w:sz w:val="20"/>
      </w:rPr>
    </w:pPr>
    <w:r w:rsidRPr="008E473A"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2D032" wp14:editId="6389FC4F">
              <wp:simplePos x="0" y="0"/>
              <wp:positionH relativeFrom="margin">
                <wp:posOffset>2942590</wp:posOffset>
              </wp:positionH>
              <wp:positionV relativeFrom="paragraph">
                <wp:posOffset>-77470</wp:posOffset>
              </wp:positionV>
              <wp:extent cx="3067050" cy="525145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73A" w:rsidRDefault="008E473A" w:rsidP="008E473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 COMRU-AHC.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1.7pt;margin-top:-6.1pt;width:241.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Rzgg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" stroked="f">
              <v:textbox>
                <w:txbxContent>
                  <w:p w:rsidR="008E473A" w:rsidRDefault="008E473A" w:rsidP="008E473A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 COMRU-AHC.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E473A">
      <w:rPr>
        <w:sz w:val="20"/>
      </w:rPr>
      <w:drawing>
        <wp:anchor distT="0" distB="0" distL="114300" distR="114300" simplePos="0" relativeHeight="251659264" behindDoc="0" locked="0" layoutInCell="1" allowOverlap="1" wp14:anchorId="7C10DF93" wp14:editId="2E5DF6D3">
          <wp:simplePos x="0" y="0"/>
          <wp:positionH relativeFrom="margin">
            <wp:posOffset>-517525</wp:posOffset>
          </wp:positionH>
          <wp:positionV relativeFrom="margin">
            <wp:posOffset>-2389505</wp:posOffset>
          </wp:positionV>
          <wp:extent cx="1520190" cy="734695"/>
          <wp:effectExtent l="0" t="0" r="3810" b="8255"/>
          <wp:wrapSquare wrapText="bothSides"/>
          <wp:docPr id="8" name="Picture 8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473A" w:rsidRPr="008E473A" w:rsidRDefault="008E473A">
    <w:pPr>
      <w:rPr>
        <w:sz w:val="20"/>
      </w:rPr>
    </w:pPr>
  </w:p>
  <w:p w:rsidR="008E473A" w:rsidRPr="008E473A" w:rsidRDefault="008E473A">
    <w:pPr>
      <w:rPr>
        <w:sz w:val="20"/>
      </w:rPr>
    </w:pPr>
  </w:p>
  <w:tbl>
    <w:tblPr>
      <w:tblStyle w:val="TableGrid"/>
      <w:tblW w:w="10207" w:type="dxa"/>
      <w:jc w:val="center"/>
      <w:tblInd w:w="-743" w:type="dxa"/>
      <w:tblLook w:val="04A0" w:firstRow="1" w:lastRow="0" w:firstColumn="1" w:lastColumn="0" w:noHBand="0" w:noVBand="1"/>
    </w:tblPr>
    <w:tblGrid>
      <w:gridCol w:w="2551"/>
      <w:gridCol w:w="2552"/>
      <w:gridCol w:w="2552"/>
      <w:gridCol w:w="2552"/>
    </w:tblGrid>
    <w:tr w:rsidR="00FB0AA3" w:rsidRPr="00983F5B" w:rsidTr="00FB0AA3">
      <w:trPr>
        <w:trHeight w:val="293"/>
        <w:jc w:val="center"/>
      </w:trPr>
      <w:tc>
        <w:tcPr>
          <w:tcW w:w="10207" w:type="dxa"/>
          <w:gridSpan w:val="4"/>
          <w:shd w:val="clear" w:color="auto" w:fill="000000" w:themeFill="text1"/>
        </w:tcPr>
        <w:p w:rsidR="00FB0AA3" w:rsidRPr="00983F5B" w:rsidRDefault="00FB0AA3" w:rsidP="005551B7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 w:rsidRPr="00983F5B">
            <w:rPr>
              <w:rFonts w:ascii="Century Gothic" w:hAnsi="Century Gothic" w:cs="Arial"/>
              <w:smallCaps/>
              <w:color w:val="FFFFFF" w:themeColor="background1"/>
              <w:sz w:val="24"/>
              <w:szCs w:val="24"/>
              <w:lang w:val="en-GB"/>
            </w:rPr>
            <w:t>Microbiology Standard Operating Procedure</w:t>
          </w:r>
        </w:p>
      </w:tc>
    </w:tr>
    <w:tr w:rsidR="00FB0AA3" w:rsidRPr="00983F5B" w:rsidTr="0073622C">
      <w:trPr>
        <w:trHeight w:val="292"/>
        <w:jc w:val="center"/>
      </w:trPr>
      <w:tc>
        <w:tcPr>
          <w:tcW w:w="10207" w:type="dxa"/>
          <w:gridSpan w:val="4"/>
          <w:tcBorders>
            <w:bottom w:val="single" w:sz="4" w:space="0" w:color="auto"/>
          </w:tcBorders>
        </w:tcPr>
        <w:p w:rsidR="00FB0AA3" w:rsidRPr="00983F5B" w:rsidRDefault="00C2229D" w:rsidP="00AB694E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Reporting of culture results</w:t>
          </w:r>
        </w:p>
      </w:tc>
    </w:tr>
    <w:tr w:rsidR="00C2229D" w:rsidRPr="00983F5B" w:rsidTr="0073622C">
      <w:trPr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C2229D" w:rsidRPr="00983F5B" w:rsidRDefault="00C222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Document number / version: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2229D" w:rsidRPr="00983F5B" w:rsidRDefault="00C222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2229D" w:rsidRPr="00983F5B" w:rsidRDefault="00C222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Reviewed and approved by: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C2229D" w:rsidRPr="00983F5B" w:rsidRDefault="00C2229D" w:rsidP="00A0147F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  <w:tr w:rsidR="00C2229D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C2229D" w:rsidRPr="00983F5B" w:rsidRDefault="00C222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Replaces document: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C2229D" w:rsidRPr="00983F5B" w:rsidRDefault="00C2229D" w:rsidP="00A0147F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C2229D" w:rsidRPr="00983F5B" w:rsidRDefault="00C222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of original: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C2229D" w:rsidRPr="00983F5B" w:rsidRDefault="00C2229D" w:rsidP="00A0147F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Sep-2005</w:t>
          </w:r>
        </w:p>
      </w:tc>
    </w:tr>
    <w:tr w:rsidR="00C2229D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C2229D" w:rsidRPr="00983F5B" w:rsidRDefault="00C222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Applies to: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C2229D" w:rsidRPr="00983F5B" w:rsidRDefault="00C2229D" w:rsidP="00A0147F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Microbiology laboratory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C2229D" w:rsidRPr="00983F5B" w:rsidRDefault="00C222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of revision: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C2229D" w:rsidRPr="00983F5B" w:rsidRDefault="00C2229D" w:rsidP="00A0147F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  <w:tr w:rsidR="00C2229D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C2229D" w:rsidRPr="00983F5B" w:rsidRDefault="008E473A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Modified</w:t>
          </w:r>
          <w:r w:rsidR="00C2229D" w:rsidRPr="00983F5B">
            <w:rPr>
              <w:rFonts w:ascii="Century Gothic" w:hAnsi="Century Gothic"/>
              <w:sz w:val="16"/>
              <w:szCs w:val="16"/>
              <w:lang w:val="en-GB"/>
            </w:rPr>
            <w:t xml:space="preserve"> by: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2229D" w:rsidRPr="00983F5B" w:rsidRDefault="00C2229D" w:rsidP="00A0147F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2229D" w:rsidRPr="00983F5B" w:rsidRDefault="00C222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for review: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C2229D" w:rsidRPr="00983F5B" w:rsidRDefault="00C2229D" w:rsidP="00A0147F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</w:tbl>
  <w:p w:rsidR="00E211A0" w:rsidRPr="008E473A" w:rsidRDefault="00E211A0" w:rsidP="00D219C6">
    <w:pPr>
      <w:pStyle w:val="Header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3A" w:rsidRPr="008E473A" w:rsidRDefault="008E473A">
    <w:pPr>
      <w:rPr>
        <w:sz w:val="20"/>
      </w:rPr>
    </w:pPr>
    <w:r w:rsidRPr="008E473A"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DD5F9" wp14:editId="35A665D5">
              <wp:simplePos x="0" y="0"/>
              <wp:positionH relativeFrom="margin">
                <wp:posOffset>2933065</wp:posOffset>
              </wp:positionH>
              <wp:positionV relativeFrom="paragraph">
                <wp:posOffset>-86995</wp:posOffset>
              </wp:positionV>
              <wp:extent cx="3067050" cy="52514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73A" w:rsidRDefault="008E473A" w:rsidP="008E473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 COMRU-AHC.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0.95pt;margin-top:-6.85pt;width:241.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/kgwIAABY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" stroked="f">
              <v:textbox>
                <w:txbxContent>
                  <w:p w:rsidR="008E473A" w:rsidRDefault="008E473A" w:rsidP="008E473A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 COMRU-AHC.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E473A">
      <w:rPr>
        <w:sz w:val="20"/>
      </w:rPr>
      <w:drawing>
        <wp:anchor distT="0" distB="0" distL="114300" distR="114300" simplePos="0" relativeHeight="251662336" behindDoc="0" locked="0" layoutInCell="1" allowOverlap="1" wp14:anchorId="4366F479" wp14:editId="5FBDA989">
          <wp:simplePos x="0" y="0"/>
          <wp:positionH relativeFrom="margin">
            <wp:posOffset>-527050</wp:posOffset>
          </wp:positionH>
          <wp:positionV relativeFrom="margin">
            <wp:posOffset>-1872615</wp:posOffset>
          </wp:positionV>
          <wp:extent cx="1520190" cy="734695"/>
          <wp:effectExtent l="0" t="0" r="3810" b="8255"/>
          <wp:wrapSquare wrapText="bothSides"/>
          <wp:docPr id="2" name="Picture 2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473A" w:rsidRPr="008E473A" w:rsidRDefault="008E473A">
    <w:pPr>
      <w:rPr>
        <w:sz w:val="20"/>
      </w:rPr>
    </w:pPr>
  </w:p>
  <w:p w:rsidR="008E473A" w:rsidRPr="008E473A" w:rsidRDefault="008E473A">
    <w:pPr>
      <w:rPr>
        <w:sz w:val="20"/>
      </w:rPr>
    </w:pPr>
  </w:p>
  <w:tbl>
    <w:tblPr>
      <w:tblStyle w:val="TableGrid"/>
      <w:tblW w:w="10207" w:type="dxa"/>
      <w:jc w:val="center"/>
      <w:tblInd w:w="-743" w:type="dxa"/>
      <w:tblLook w:val="04A0" w:firstRow="1" w:lastRow="0" w:firstColumn="1" w:lastColumn="0" w:noHBand="0" w:noVBand="1"/>
    </w:tblPr>
    <w:tblGrid>
      <w:gridCol w:w="2551"/>
      <w:gridCol w:w="2552"/>
      <w:gridCol w:w="2552"/>
      <w:gridCol w:w="2552"/>
    </w:tblGrid>
    <w:tr w:rsidR="00515D26" w:rsidRPr="00FB0AA3" w:rsidTr="00FB0AA3">
      <w:trPr>
        <w:trHeight w:val="293"/>
        <w:jc w:val="center"/>
      </w:trPr>
      <w:tc>
        <w:tcPr>
          <w:tcW w:w="10207" w:type="dxa"/>
          <w:gridSpan w:val="4"/>
          <w:shd w:val="clear" w:color="auto" w:fill="000000" w:themeFill="text1"/>
        </w:tcPr>
        <w:p w:rsidR="00515D26" w:rsidRPr="00405ACC" w:rsidRDefault="00515D26" w:rsidP="00405ACC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 w:rsidRPr="00405ACC">
            <w:rPr>
              <w:rFonts w:ascii="Century Gothic" w:hAnsi="Century Gothic" w:cs="Arial"/>
              <w:smallCaps/>
              <w:color w:val="FFFFFF" w:themeColor="background1"/>
              <w:sz w:val="24"/>
              <w:szCs w:val="24"/>
              <w:lang w:val="en-GB"/>
            </w:rPr>
            <w:t>Microbiology Standard Operating Procedure</w:t>
          </w:r>
        </w:p>
      </w:tc>
    </w:tr>
    <w:tr w:rsidR="00515D26" w:rsidRPr="00FB0AA3" w:rsidTr="00515D26">
      <w:trPr>
        <w:trHeight w:val="292"/>
        <w:jc w:val="center"/>
      </w:trPr>
      <w:tc>
        <w:tcPr>
          <w:tcW w:w="10207" w:type="dxa"/>
          <w:gridSpan w:val="4"/>
          <w:tcBorders>
            <w:bottom w:val="single" w:sz="4" w:space="0" w:color="auto"/>
          </w:tcBorders>
        </w:tcPr>
        <w:p w:rsidR="00515D26" w:rsidRPr="00405ACC" w:rsidRDefault="00C2229D" w:rsidP="00405ACC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lang w:val="en-GB"/>
            </w:rPr>
          </w:pP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Reporting of culture results</w:t>
          </w:r>
        </w:p>
      </w:tc>
    </w:tr>
    <w:tr w:rsidR="00515D26" w:rsidRPr="00FB0AA3" w:rsidTr="00515D26">
      <w:trPr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  <w:r w:rsidRPr="00D219C6">
            <w:rPr>
              <w:rFonts w:ascii="Century Gothic" w:hAnsi="Century Gothic"/>
              <w:sz w:val="16"/>
              <w:szCs w:val="16"/>
            </w:rPr>
            <w:t>Document number / version: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</w:tr>
  </w:tbl>
  <w:p w:rsidR="00515D26" w:rsidRPr="008E473A" w:rsidRDefault="00515D26" w:rsidP="00D219C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94B"/>
    <w:multiLevelType w:val="hybridMultilevel"/>
    <w:tmpl w:val="ECAAC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72E"/>
    <w:multiLevelType w:val="hybridMultilevel"/>
    <w:tmpl w:val="4A3A2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62A1"/>
    <w:multiLevelType w:val="hybridMultilevel"/>
    <w:tmpl w:val="E61A2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7FE"/>
    <w:multiLevelType w:val="multilevel"/>
    <w:tmpl w:val="36C0C1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39964BE"/>
    <w:multiLevelType w:val="hybridMultilevel"/>
    <w:tmpl w:val="5B16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7F22"/>
    <w:multiLevelType w:val="hybridMultilevel"/>
    <w:tmpl w:val="0AB6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374EC"/>
    <w:multiLevelType w:val="hybridMultilevel"/>
    <w:tmpl w:val="057C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A9E"/>
    <w:multiLevelType w:val="hybridMultilevel"/>
    <w:tmpl w:val="CC5C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07A56"/>
    <w:multiLevelType w:val="hybridMultilevel"/>
    <w:tmpl w:val="09A2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16D52"/>
    <w:multiLevelType w:val="hybridMultilevel"/>
    <w:tmpl w:val="5C4E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C1FD2"/>
    <w:multiLevelType w:val="hybridMultilevel"/>
    <w:tmpl w:val="F648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13A35"/>
    <w:multiLevelType w:val="hybridMultilevel"/>
    <w:tmpl w:val="9C784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07E03"/>
    <w:multiLevelType w:val="hybridMultilevel"/>
    <w:tmpl w:val="1264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01FB3"/>
    <w:multiLevelType w:val="hybridMultilevel"/>
    <w:tmpl w:val="96A0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3"/>
    <w:rsid w:val="0003682A"/>
    <w:rsid w:val="00037FFC"/>
    <w:rsid w:val="00050523"/>
    <w:rsid w:val="00052E0B"/>
    <w:rsid w:val="0006065D"/>
    <w:rsid w:val="00061722"/>
    <w:rsid w:val="00070AE6"/>
    <w:rsid w:val="000B2223"/>
    <w:rsid w:val="000C0E7D"/>
    <w:rsid w:val="000D2BED"/>
    <w:rsid w:val="000D7864"/>
    <w:rsid w:val="000E42C8"/>
    <w:rsid w:val="000F6C11"/>
    <w:rsid w:val="00111502"/>
    <w:rsid w:val="0013305D"/>
    <w:rsid w:val="00135CD7"/>
    <w:rsid w:val="001416B4"/>
    <w:rsid w:val="001541D0"/>
    <w:rsid w:val="00155726"/>
    <w:rsid w:val="00165CAB"/>
    <w:rsid w:val="001B1A3E"/>
    <w:rsid w:val="001B2E44"/>
    <w:rsid w:val="001C0D5D"/>
    <w:rsid w:val="001C12FA"/>
    <w:rsid w:val="001C5564"/>
    <w:rsid w:val="001C78DD"/>
    <w:rsid w:val="001D3069"/>
    <w:rsid w:val="001D6CA5"/>
    <w:rsid w:val="001E18F2"/>
    <w:rsid w:val="001E1CF0"/>
    <w:rsid w:val="001F1FEE"/>
    <w:rsid w:val="00205001"/>
    <w:rsid w:val="00220450"/>
    <w:rsid w:val="002207D4"/>
    <w:rsid w:val="00222C33"/>
    <w:rsid w:val="002378B2"/>
    <w:rsid w:val="00246D8E"/>
    <w:rsid w:val="0025785F"/>
    <w:rsid w:val="00262CF1"/>
    <w:rsid w:val="002720F6"/>
    <w:rsid w:val="00273D46"/>
    <w:rsid w:val="00287235"/>
    <w:rsid w:val="002A0619"/>
    <w:rsid w:val="002B0540"/>
    <w:rsid w:val="002E454D"/>
    <w:rsid w:val="002E4C34"/>
    <w:rsid w:val="002F06D7"/>
    <w:rsid w:val="00314692"/>
    <w:rsid w:val="0032511D"/>
    <w:rsid w:val="00335B6A"/>
    <w:rsid w:val="003403D8"/>
    <w:rsid w:val="00342E28"/>
    <w:rsid w:val="00374FCE"/>
    <w:rsid w:val="003767D9"/>
    <w:rsid w:val="003A7A8A"/>
    <w:rsid w:val="003E203F"/>
    <w:rsid w:val="003E3668"/>
    <w:rsid w:val="00405ACC"/>
    <w:rsid w:val="00424C3A"/>
    <w:rsid w:val="00427502"/>
    <w:rsid w:val="00430CFE"/>
    <w:rsid w:val="00445588"/>
    <w:rsid w:val="0045371C"/>
    <w:rsid w:val="00477C4D"/>
    <w:rsid w:val="004927F0"/>
    <w:rsid w:val="004A35E6"/>
    <w:rsid w:val="004A37C2"/>
    <w:rsid w:val="004B5F42"/>
    <w:rsid w:val="004C4C4B"/>
    <w:rsid w:val="004C61F8"/>
    <w:rsid w:val="004E7597"/>
    <w:rsid w:val="00515D26"/>
    <w:rsid w:val="005551B7"/>
    <w:rsid w:val="005A1B55"/>
    <w:rsid w:val="005B251F"/>
    <w:rsid w:val="005C3BF6"/>
    <w:rsid w:val="005E02C6"/>
    <w:rsid w:val="005E2910"/>
    <w:rsid w:val="005E2D38"/>
    <w:rsid w:val="00607BC3"/>
    <w:rsid w:val="00632989"/>
    <w:rsid w:val="006538C8"/>
    <w:rsid w:val="006C1DB9"/>
    <w:rsid w:val="006C4703"/>
    <w:rsid w:val="006C64AF"/>
    <w:rsid w:val="006D6F46"/>
    <w:rsid w:val="00726755"/>
    <w:rsid w:val="0073622C"/>
    <w:rsid w:val="00736DAA"/>
    <w:rsid w:val="00742CE0"/>
    <w:rsid w:val="0075617E"/>
    <w:rsid w:val="0078032C"/>
    <w:rsid w:val="00797C0E"/>
    <w:rsid w:val="007C4674"/>
    <w:rsid w:val="007C7203"/>
    <w:rsid w:val="007C7A94"/>
    <w:rsid w:val="007D1756"/>
    <w:rsid w:val="007F2718"/>
    <w:rsid w:val="008166E6"/>
    <w:rsid w:val="00827B5D"/>
    <w:rsid w:val="00831B07"/>
    <w:rsid w:val="0084638E"/>
    <w:rsid w:val="00872110"/>
    <w:rsid w:val="0089285A"/>
    <w:rsid w:val="008A6CEE"/>
    <w:rsid w:val="008E473A"/>
    <w:rsid w:val="008E5800"/>
    <w:rsid w:val="008E6A1F"/>
    <w:rsid w:val="008F1617"/>
    <w:rsid w:val="008F61D3"/>
    <w:rsid w:val="00912418"/>
    <w:rsid w:val="00922F74"/>
    <w:rsid w:val="00924A58"/>
    <w:rsid w:val="00935C33"/>
    <w:rsid w:val="00960FDF"/>
    <w:rsid w:val="00983F5B"/>
    <w:rsid w:val="009914D3"/>
    <w:rsid w:val="00993F92"/>
    <w:rsid w:val="00995876"/>
    <w:rsid w:val="009C3E57"/>
    <w:rsid w:val="009C6903"/>
    <w:rsid w:val="009E09F2"/>
    <w:rsid w:val="009E0BD9"/>
    <w:rsid w:val="009E56D7"/>
    <w:rsid w:val="009F1B07"/>
    <w:rsid w:val="009F1BFD"/>
    <w:rsid w:val="009F789F"/>
    <w:rsid w:val="00A06C04"/>
    <w:rsid w:val="00A254A7"/>
    <w:rsid w:val="00A2682E"/>
    <w:rsid w:val="00A53E7A"/>
    <w:rsid w:val="00A77A6A"/>
    <w:rsid w:val="00AB52D9"/>
    <w:rsid w:val="00AB694E"/>
    <w:rsid w:val="00AD588F"/>
    <w:rsid w:val="00AD5A01"/>
    <w:rsid w:val="00AE2510"/>
    <w:rsid w:val="00AE5F3A"/>
    <w:rsid w:val="00AF12A5"/>
    <w:rsid w:val="00AF160A"/>
    <w:rsid w:val="00B00ECA"/>
    <w:rsid w:val="00B25A72"/>
    <w:rsid w:val="00B424F6"/>
    <w:rsid w:val="00B46F3F"/>
    <w:rsid w:val="00B537CE"/>
    <w:rsid w:val="00B62444"/>
    <w:rsid w:val="00B62F56"/>
    <w:rsid w:val="00B649F2"/>
    <w:rsid w:val="00B83471"/>
    <w:rsid w:val="00B867F2"/>
    <w:rsid w:val="00B9151B"/>
    <w:rsid w:val="00B9205A"/>
    <w:rsid w:val="00BA6835"/>
    <w:rsid w:val="00BB34D4"/>
    <w:rsid w:val="00BC2277"/>
    <w:rsid w:val="00BE36AF"/>
    <w:rsid w:val="00BE7408"/>
    <w:rsid w:val="00BF4A7B"/>
    <w:rsid w:val="00C00018"/>
    <w:rsid w:val="00C1672F"/>
    <w:rsid w:val="00C2229D"/>
    <w:rsid w:val="00C356FF"/>
    <w:rsid w:val="00C42B46"/>
    <w:rsid w:val="00C722E9"/>
    <w:rsid w:val="00C76BBB"/>
    <w:rsid w:val="00C77F65"/>
    <w:rsid w:val="00C8267C"/>
    <w:rsid w:val="00C8635F"/>
    <w:rsid w:val="00C96A91"/>
    <w:rsid w:val="00CB272A"/>
    <w:rsid w:val="00CE0DAA"/>
    <w:rsid w:val="00CE139C"/>
    <w:rsid w:val="00D023B5"/>
    <w:rsid w:val="00D12562"/>
    <w:rsid w:val="00D219C6"/>
    <w:rsid w:val="00D24538"/>
    <w:rsid w:val="00D31D48"/>
    <w:rsid w:val="00D33D8C"/>
    <w:rsid w:val="00D36001"/>
    <w:rsid w:val="00D7649D"/>
    <w:rsid w:val="00D863FC"/>
    <w:rsid w:val="00D93B2C"/>
    <w:rsid w:val="00DB76DC"/>
    <w:rsid w:val="00DC5A51"/>
    <w:rsid w:val="00DD0470"/>
    <w:rsid w:val="00E065D7"/>
    <w:rsid w:val="00E211A0"/>
    <w:rsid w:val="00E26FA7"/>
    <w:rsid w:val="00E33B1E"/>
    <w:rsid w:val="00E35181"/>
    <w:rsid w:val="00E45F25"/>
    <w:rsid w:val="00E47BDE"/>
    <w:rsid w:val="00E50BF5"/>
    <w:rsid w:val="00E65C0B"/>
    <w:rsid w:val="00E73FFE"/>
    <w:rsid w:val="00E770E0"/>
    <w:rsid w:val="00E8035A"/>
    <w:rsid w:val="00E96D99"/>
    <w:rsid w:val="00EA1783"/>
    <w:rsid w:val="00EB68B5"/>
    <w:rsid w:val="00EC4233"/>
    <w:rsid w:val="00ED071C"/>
    <w:rsid w:val="00ED1662"/>
    <w:rsid w:val="00ED1ABE"/>
    <w:rsid w:val="00EF0D32"/>
    <w:rsid w:val="00EF0F49"/>
    <w:rsid w:val="00EF2949"/>
    <w:rsid w:val="00F20F73"/>
    <w:rsid w:val="00F306FC"/>
    <w:rsid w:val="00F3392A"/>
    <w:rsid w:val="00F3705A"/>
    <w:rsid w:val="00F74DC0"/>
    <w:rsid w:val="00F82B42"/>
    <w:rsid w:val="00F92AC0"/>
    <w:rsid w:val="00F92ACC"/>
    <w:rsid w:val="00FB0AA3"/>
    <w:rsid w:val="00FB51CD"/>
    <w:rsid w:val="00FC759D"/>
    <w:rsid w:val="00FD2EEE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C6"/>
    <w:pPr>
      <w:spacing w:after="120" w:line="276" w:lineRule="auto"/>
      <w:jc w:val="both"/>
    </w:pPr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19C6"/>
    <w:pPr>
      <w:keepNext/>
      <w:widowControl w:val="0"/>
      <w:numPr>
        <w:numId w:val="1"/>
      </w:numPr>
      <w:autoSpaceDE w:val="0"/>
      <w:autoSpaceDN w:val="0"/>
      <w:adjustRightInd w:val="0"/>
      <w:ind w:left="431" w:hanging="431"/>
      <w:outlineLvl w:val="0"/>
    </w:pPr>
    <w:rPr>
      <w:rFonts w:ascii="Century Gothic" w:eastAsia="Times New Roman" w:hAnsi="Century Gothic"/>
      <w:b/>
    </w:rPr>
  </w:style>
  <w:style w:type="paragraph" w:styleId="Heading2">
    <w:name w:val="heading 2"/>
    <w:basedOn w:val="Normal"/>
    <w:next w:val="Normal"/>
    <w:link w:val="Heading2Char"/>
    <w:qFormat/>
    <w:rsid w:val="00D219C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entury Gothic" w:eastAsia="Times New Roman" w:hAnsi="Century Gothic"/>
      <w:b/>
      <w:i/>
    </w:rPr>
  </w:style>
  <w:style w:type="paragraph" w:styleId="Heading3">
    <w:name w:val="heading 3"/>
    <w:basedOn w:val="Normal"/>
    <w:next w:val="Normal"/>
    <w:link w:val="Heading3Char"/>
    <w:qFormat/>
    <w:rsid w:val="00D219C6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entury Gothic" w:eastAsia="Times New Roman" w:hAnsi="Century Gothic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D219C6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A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6AAB"/>
    <w:pPr>
      <w:keepNext/>
      <w:numPr>
        <w:ilvl w:val="5"/>
        <w:numId w:val="1"/>
      </w:numPr>
      <w:outlineLvl w:val="5"/>
    </w:pPr>
    <w:rPr>
      <w:rFonts w:ascii="Garamond" w:eastAsia="Times New Roman" w:hAnsi="Garamond" w:cs="Times"/>
      <w:b/>
      <w:bCs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A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A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A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ind w:left="850"/>
    </w:pPr>
    <w:rPr>
      <w:rFonts w:ascii="Arial" w:eastAsia="Times New Roman" w:hAnsi="Arial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168"/>
    <w:rPr>
      <w:rFonts w:ascii="Tahoma" w:hAnsi="Tahoma" w:cs="Tahoma"/>
      <w:sz w:val="16"/>
      <w:szCs w:val="16"/>
    </w:rPr>
  </w:style>
  <w:style w:type="character" w:styleId="Hyperlink">
    <w:name w:val="Hyperlink"/>
    <w:rsid w:val="001963B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1C1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3Char">
    <w:name w:val="Body Text 3 Char"/>
    <w:link w:val="BodyText3"/>
    <w:rsid w:val="001C156B"/>
    <w:rPr>
      <w:rFonts w:ascii="Courier New" w:eastAsia="Times New Roman" w:hAnsi="Courier New" w:cs="Courier New"/>
      <w:sz w:val="16"/>
      <w:szCs w:val="16"/>
    </w:rPr>
  </w:style>
  <w:style w:type="character" w:customStyle="1" w:styleId="Heading4Char">
    <w:name w:val="Heading 4 Char"/>
    <w:link w:val="Heading4"/>
    <w:rsid w:val="00D219C6"/>
    <w:rPr>
      <w:rFonts w:ascii="Century Gothic" w:eastAsia="Times New Roman" w:hAnsi="Century Gothic" w:cs="Arial"/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C6AAB"/>
    <w:rPr>
      <w:rFonts w:ascii="Garamond" w:eastAsia="Times New Roman" w:hAnsi="Garamond" w:cs="Times"/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D219C6"/>
    <w:rPr>
      <w:rFonts w:ascii="Century Gothic" w:eastAsia="Times New Roman" w:hAnsi="Century Gothic" w:cs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219C6"/>
    <w:rPr>
      <w:rFonts w:ascii="Century Gothic" w:eastAsia="Times New Roman" w:hAnsi="Century Gothic" w:cs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D219C6"/>
    <w:rPr>
      <w:rFonts w:ascii="Century Gothic" w:eastAsia="Times New Roman" w:hAnsi="Century Gothic" w:cs="Arial"/>
      <w:b/>
      <w:i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1C6AAB"/>
    <w:rPr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C6AA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unhideWhenUsed/>
    <w:rsid w:val="001C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B"/>
    <w:rPr>
      <w:rFonts w:ascii="Times New Roman" w:eastAsia="Times New Roman" w:hAnsi="Times New Roman" w:cs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C6A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A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6AAB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C6AAB"/>
    <w:pPr>
      <w:ind w:left="720"/>
    </w:pPr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E770E0"/>
    <w:pPr>
      <w:spacing w:line="480" w:lineRule="auto"/>
    </w:pPr>
  </w:style>
  <w:style w:type="character" w:customStyle="1" w:styleId="BodyText2Char">
    <w:name w:val="Body Text 2 Char"/>
    <w:link w:val="BodyText2"/>
    <w:rsid w:val="00E770E0"/>
    <w:rPr>
      <w:sz w:val="24"/>
      <w:lang w:val="en-AU"/>
    </w:rPr>
  </w:style>
  <w:style w:type="paragraph" w:customStyle="1" w:styleId="HeaderEven">
    <w:name w:val="Header Even"/>
    <w:basedOn w:val="NoSpacing"/>
    <w:rsid w:val="00E47BDE"/>
    <w:pPr>
      <w:pBdr>
        <w:bottom w:val="single" w:sz="4" w:space="1" w:color="4F81BD" w:themeColor="accent1"/>
      </w:pBdr>
    </w:pPr>
    <w:rPr>
      <w:rFonts w:asciiTheme="minorHAnsi" w:eastAsiaTheme="minorHAnsi" w:hAnsiTheme="minorHAnsi" w:cs="Times New Roman"/>
      <w:b/>
      <w:color w:val="1F497D" w:themeColor="text2"/>
      <w:sz w:val="20"/>
      <w:lang w:val="en-US" w:eastAsia="ja-JP"/>
    </w:rPr>
  </w:style>
  <w:style w:type="paragraph" w:styleId="NoSpacing">
    <w:name w:val="No Spacing"/>
    <w:uiPriority w:val="1"/>
    <w:qFormat/>
    <w:rsid w:val="00E47BDE"/>
    <w:rPr>
      <w:sz w:val="24"/>
      <w:lang w:val="en-AU" w:eastAsia="en-US"/>
    </w:rPr>
  </w:style>
  <w:style w:type="character" w:styleId="Strong">
    <w:name w:val="Strong"/>
    <w:uiPriority w:val="22"/>
    <w:qFormat/>
    <w:rsid w:val="00314692"/>
    <w:rPr>
      <w:rFonts w:ascii="Times New Roman" w:hAnsi="Times New Roman" w:cs="Arial"/>
      <w:b w:val="0"/>
      <w:i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05AC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05AC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2229D"/>
    <w:rPr>
      <w:rFonts w:ascii="Arial Narrow" w:hAnsi="Arial Narrow" w:cs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C6"/>
    <w:pPr>
      <w:spacing w:after="120" w:line="276" w:lineRule="auto"/>
      <w:jc w:val="both"/>
    </w:pPr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19C6"/>
    <w:pPr>
      <w:keepNext/>
      <w:widowControl w:val="0"/>
      <w:numPr>
        <w:numId w:val="1"/>
      </w:numPr>
      <w:autoSpaceDE w:val="0"/>
      <w:autoSpaceDN w:val="0"/>
      <w:adjustRightInd w:val="0"/>
      <w:ind w:left="431" w:hanging="431"/>
      <w:outlineLvl w:val="0"/>
    </w:pPr>
    <w:rPr>
      <w:rFonts w:ascii="Century Gothic" w:eastAsia="Times New Roman" w:hAnsi="Century Gothic"/>
      <w:b/>
    </w:rPr>
  </w:style>
  <w:style w:type="paragraph" w:styleId="Heading2">
    <w:name w:val="heading 2"/>
    <w:basedOn w:val="Normal"/>
    <w:next w:val="Normal"/>
    <w:link w:val="Heading2Char"/>
    <w:qFormat/>
    <w:rsid w:val="00D219C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entury Gothic" w:eastAsia="Times New Roman" w:hAnsi="Century Gothic"/>
      <w:b/>
      <w:i/>
    </w:rPr>
  </w:style>
  <w:style w:type="paragraph" w:styleId="Heading3">
    <w:name w:val="heading 3"/>
    <w:basedOn w:val="Normal"/>
    <w:next w:val="Normal"/>
    <w:link w:val="Heading3Char"/>
    <w:qFormat/>
    <w:rsid w:val="00D219C6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entury Gothic" w:eastAsia="Times New Roman" w:hAnsi="Century Gothic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D219C6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A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6AAB"/>
    <w:pPr>
      <w:keepNext/>
      <w:numPr>
        <w:ilvl w:val="5"/>
        <w:numId w:val="1"/>
      </w:numPr>
      <w:outlineLvl w:val="5"/>
    </w:pPr>
    <w:rPr>
      <w:rFonts w:ascii="Garamond" w:eastAsia="Times New Roman" w:hAnsi="Garamond" w:cs="Times"/>
      <w:b/>
      <w:bCs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A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A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A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ind w:left="850"/>
    </w:pPr>
    <w:rPr>
      <w:rFonts w:ascii="Arial" w:eastAsia="Times New Roman" w:hAnsi="Arial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168"/>
    <w:rPr>
      <w:rFonts w:ascii="Tahoma" w:hAnsi="Tahoma" w:cs="Tahoma"/>
      <w:sz w:val="16"/>
      <w:szCs w:val="16"/>
    </w:rPr>
  </w:style>
  <w:style w:type="character" w:styleId="Hyperlink">
    <w:name w:val="Hyperlink"/>
    <w:rsid w:val="001963B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1C1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3Char">
    <w:name w:val="Body Text 3 Char"/>
    <w:link w:val="BodyText3"/>
    <w:rsid w:val="001C156B"/>
    <w:rPr>
      <w:rFonts w:ascii="Courier New" w:eastAsia="Times New Roman" w:hAnsi="Courier New" w:cs="Courier New"/>
      <w:sz w:val="16"/>
      <w:szCs w:val="16"/>
    </w:rPr>
  </w:style>
  <w:style w:type="character" w:customStyle="1" w:styleId="Heading4Char">
    <w:name w:val="Heading 4 Char"/>
    <w:link w:val="Heading4"/>
    <w:rsid w:val="00D219C6"/>
    <w:rPr>
      <w:rFonts w:ascii="Century Gothic" w:eastAsia="Times New Roman" w:hAnsi="Century Gothic" w:cs="Arial"/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C6AAB"/>
    <w:rPr>
      <w:rFonts w:ascii="Garamond" w:eastAsia="Times New Roman" w:hAnsi="Garamond" w:cs="Times"/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D219C6"/>
    <w:rPr>
      <w:rFonts w:ascii="Century Gothic" w:eastAsia="Times New Roman" w:hAnsi="Century Gothic" w:cs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219C6"/>
    <w:rPr>
      <w:rFonts w:ascii="Century Gothic" w:eastAsia="Times New Roman" w:hAnsi="Century Gothic" w:cs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D219C6"/>
    <w:rPr>
      <w:rFonts w:ascii="Century Gothic" w:eastAsia="Times New Roman" w:hAnsi="Century Gothic" w:cs="Arial"/>
      <w:b/>
      <w:i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1C6AAB"/>
    <w:rPr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C6AA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unhideWhenUsed/>
    <w:rsid w:val="001C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B"/>
    <w:rPr>
      <w:rFonts w:ascii="Times New Roman" w:eastAsia="Times New Roman" w:hAnsi="Times New Roman" w:cs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C6A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A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6AAB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C6AAB"/>
    <w:pPr>
      <w:ind w:left="720"/>
    </w:pPr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E770E0"/>
    <w:pPr>
      <w:spacing w:line="480" w:lineRule="auto"/>
    </w:pPr>
  </w:style>
  <w:style w:type="character" w:customStyle="1" w:styleId="BodyText2Char">
    <w:name w:val="Body Text 2 Char"/>
    <w:link w:val="BodyText2"/>
    <w:rsid w:val="00E770E0"/>
    <w:rPr>
      <w:sz w:val="24"/>
      <w:lang w:val="en-AU"/>
    </w:rPr>
  </w:style>
  <w:style w:type="paragraph" w:customStyle="1" w:styleId="HeaderEven">
    <w:name w:val="Header Even"/>
    <w:basedOn w:val="NoSpacing"/>
    <w:rsid w:val="00E47BDE"/>
    <w:pPr>
      <w:pBdr>
        <w:bottom w:val="single" w:sz="4" w:space="1" w:color="4F81BD" w:themeColor="accent1"/>
      </w:pBdr>
    </w:pPr>
    <w:rPr>
      <w:rFonts w:asciiTheme="minorHAnsi" w:eastAsiaTheme="minorHAnsi" w:hAnsiTheme="minorHAnsi" w:cs="Times New Roman"/>
      <w:b/>
      <w:color w:val="1F497D" w:themeColor="text2"/>
      <w:sz w:val="20"/>
      <w:lang w:val="en-US" w:eastAsia="ja-JP"/>
    </w:rPr>
  </w:style>
  <w:style w:type="paragraph" w:styleId="NoSpacing">
    <w:name w:val="No Spacing"/>
    <w:uiPriority w:val="1"/>
    <w:qFormat/>
    <w:rsid w:val="00E47BDE"/>
    <w:rPr>
      <w:sz w:val="24"/>
      <w:lang w:val="en-AU" w:eastAsia="en-US"/>
    </w:rPr>
  </w:style>
  <w:style w:type="character" w:styleId="Strong">
    <w:name w:val="Strong"/>
    <w:uiPriority w:val="22"/>
    <w:qFormat/>
    <w:rsid w:val="00314692"/>
    <w:rPr>
      <w:rFonts w:ascii="Times New Roman" w:hAnsi="Times New Roman" w:cs="Arial"/>
      <w:b w:val="0"/>
      <w:i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05AC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05AC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2229D"/>
    <w:rPr>
      <w:rFonts w:ascii="Arial Narrow" w:hAnsi="Arial Narrow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a.org.uk/SMI/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T.PAUL-HOME\AppData\Roaming\Microsoft\Templates\COMRU%20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COMRU SOP template.dotx</Template>
  <TotalTime>3</TotalTime>
  <Pages>9</Pages>
  <Words>974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Wellcome Trust Unit- Thailand</Company>
  <LinksUpToDate>false</LinksUpToDate>
  <CharactersWithSpaces>7576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 Turner</dc:creator>
  <cp:lastModifiedBy>Samuel Franzen</cp:lastModifiedBy>
  <cp:revision>4</cp:revision>
  <cp:lastPrinted>2013-07-04T02:45:00Z</cp:lastPrinted>
  <dcterms:created xsi:type="dcterms:W3CDTF">2014-03-27T13:46:00Z</dcterms:created>
  <dcterms:modified xsi:type="dcterms:W3CDTF">2014-03-27T13:48:00Z</dcterms:modified>
</cp:coreProperties>
</file>