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983F5B" w:rsidRDefault="00B83471" w:rsidP="00D219C6">
      <w:pPr>
        <w:pStyle w:val="Heading1"/>
        <w:rPr>
          <w:lang w:val="en-GB"/>
        </w:rPr>
      </w:pPr>
      <w:r w:rsidRPr="00983F5B">
        <w:rPr>
          <w:lang w:val="en-GB"/>
        </w:rPr>
        <w:t>Aim</w:t>
      </w:r>
    </w:p>
    <w:p w:rsidR="00B83471" w:rsidRPr="00983F5B" w:rsidRDefault="00F602DE" w:rsidP="00D219C6">
      <w:pPr>
        <w:rPr>
          <w:lang w:val="en-GB"/>
        </w:rPr>
      </w:pPr>
      <w:r>
        <w:rPr>
          <w:lang w:val="en-GB"/>
        </w:rPr>
        <w:t xml:space="preserve">To describe the processing of clinical specimens collected for investigation of potential </w:t>
      </w:r>
      <w:r w:rsidR="00460B39">
        <w:rPr>
          <w:lang w:val="en-GB"/>
        </w:rPr>
        <w:t xml:space="preserve">sexually transmitted </w:t>
      </w:r>
      <w:r>
        <w:rPr>
          <w:lang w:val="en-GB"/>
        </w:rPr>
        <w:t xml:space="preserve">infection of the </w:t>
      </w:r>
      <w:r w:rsidR="00460B39">
        <w:rPr>
          <w:lang w:val="en-GB"/>
        </w:rPr>
        <w:t>male</w:t>
      </w:r>
      <w:r w:rsidR="00C958D2">
        <w:rPr>
          <w:lang w:val="en-GB"/>
        </w:rPr>
        <w:t xml:space="preserve"> </w:t>
      </w:r>
      <w:r>
        <w:rPr>
          <w:lang w:val="en-GB"/>
        </w:rPr>
        <w:t xml:space="preserve">genital tract </w:t>
      </w:r>
      <w:r w:rsidR="00401CCE">
        <w:rPr>
          <w:lang w:val="en-GB"/>
        </w:rPr>
        <w:t>in a paediatric hospital setting.</w:t>
      </w:r>
    </w:p>
    <w:p w:rsidR="00405ACC" w:rsidRPr="00983F5B" w:rsidRDefault="00B83471" w:rsidP="00D219C6">
      <w:pPr>
        <w:pStyle w:val="Heading1"/>
        <w:rPr>
          <w:lang w:val="en-GB"/>
        </w:rPr>
      </w:pPr>
      <w:r w:rsidRPr="00983F5B">
        <w:rPr>
          <w:lang w:val="en-GB"/>
        </w:rPr>
        <w:t>Principle</w:t>
      </w:r>
    </w:p>
    <w:p w:rsidR="00726349" w:rsidRPr="00726349" w:rsidRDefault="00F602DE" w:rsidP="00726349">
      <w:pPr>
        <w:rPr>
          <w:lang w:val="en-GB"/>
        </w:rPr>
        <w:sectPr w:rsidR="00726349" w:rsidRPr="00726349" w:rsidSect="006C64AF">
          <w:headerReference w:type="default" r:id="rId9"/>
          <w:footerReference w:type="default" r:id="rId10"/>
          <w:pgSz w:w="12240" w:h="15840"/>
          <w:pgMar w:top="1440" w:right="1800" w:bottom="1440" w:left="1800" w:header="708" w:footer="708" w:gutter="0"/>
          <w:cols w:space="708"/>
          <w:docGrid w:linePitch="326"/>
        </w:sectPr>
      </w:pPr>
      <w:r w:rsidRPr="00726349">
        <w:rPr>
          <w:lang w:val="en-GB"/>
        </w:rPr>
        <w:t>Swab specimens a</w:t>
      </w:r>
      <w:r w:rsidR="00401CCE" w:rsidRPr="00726349">
        <w:rPr>
          <w:lang w:val="en-GB"/>
        </w:rPr>
        <w:t xml:space="preserve">re collected from the </w:t>
      </w:r>
      <w:r w:rsidR="00460B39">
        <w:rPr>
          <w:lang w:val="en-GB"/>
        </w:rPr>
        <w:t>penis/urethra and/or rectum</w:t>
      </w:r>
      <w:r w:rsidRPr="00726349">
        <w:rPr>
          <w:lang w:val="en-GB"/>
        </w:rPr>
        <w:t xml:space="preserve"> to determine the presence of organisms associated with sexually transmitted </w:t>
      </w:r>
      <w:r w:rsidR="00460B39">
        <w:rPr>
          <w:lang w:val="en-GB"/>
        </w:rPr>
        <w:t xml:space="preserve">infection. </w:t>
      </w:r>
      <w:r w:rsidR="00460B39">
        <w:rPr>
          <w:i/>
          <w:lang w:val="en-GB"/>
        </w:rPr>
        <w:t>Neisseria gonorrhoeae</w:t>
      </w:r>
      <w:r w:rsidR="00460B39">
        <w:rPr>
          <w:lang w:val="en-GB"/>
        </w:rPr>
        <w:t xml:space="preserve"> infection</w:t>
      </w:r>
      <w:r w:rsidR="0000258D">
        <w:rPr>
          <w:lang w:val="en-GB"/>
        </w:rPr>
        <w:t xml:space="preserve"> may be characteri</w:t>
      </w:r>
      <w:bookmarkStart w:id="0" w:name="_GoBack"/>
      <w:bookmarkEnd w:id="0"/>
      <w:r w:rsidR="0000258D">
        <w:rPr>
          <w:lang w:val="en-GB"/>
        </w:rPr>
        <w:t>sed by pain, i</w:t>
      </w:r>
      <w:r w:rsidR="00460B39">
        <w:rPr>
          <w:lang w:val="en-GB"/>
        </w:rPr>
        <w:t>rritation, and discharge.</w:t>
      </w:r>
    </w:p>
    <w:p w:rsidR="00BF4A7B" w:rsidRPr="00983F5B" w:rsidRDefault="00BF4A7B" w:rsidP="00BF4A7B">
      <w:pPr>
        <w:pStyle w:val="Heading1"/>
        <w:rPr>
          <w:lang w:val="en-GB"/>
        </w:rPr>
      </w:pPr>
      <w:r w:rsidRPr="00983F5B">
        <w:rPr>
          <w:lang w:val="en-GB"/>
        </w:rPr>
        <w:lastRenderedPageBreak/>
        <w:t>Method</w:t>
      </w:r>
    </w:p>
    <w:p w:rsidR="00F602DE" w:rsidRPr="00093BA1" w:rsidRDefault="00F602DE" w:rsidP="00F602DE">
      <w:pPr>
        <w:pStyle w:val="Heading2"/>
        <w:rPr>
          <w:lang w:val="en-GB"/>
        </w:rPr>
      </w:pPr>
      <w:r w:rsidRPr="00093BA1">
        <w:rPr>
          <w:lang w:val="en-GB"/>
        </w:rPr>
        <w:t>Specimen collection</w:t>
      </w:r>
    </w:p>
    <w:p w:rsidR="00F602DE" w:rsidRPr="00093BA1" w:rsidRDefault="00401CCE" w:rsidP="00F602DE">
      <w:pPr>
        <w:rPr>
          <w:lang w:val="en-GB"/>
        </w:rPr>
      </w:pPr>
      <w:r>
        <w:rPr>
          <w:lang w:val="en-GB"/>
        </w:rPr>
        <w:t>Specimens should be collected using sterile swabs and placed into Amies transport medium (</w:t>
      </w:r>
      <w:r w:rsidR="00C563F1">
        <w:rPr>
          <w:lang w:val="en-GB"/>
        </w:rPr>
        <w:t>+/-</w:t>
      </w:r>
      <w:r>
        <w:rPr>
          <w:lang w:val="en-GB"/>
        </w:rPr>
        <w:t xml:space="preserve"> charcoal).</w:t>
      </w:r>
    </w:p>
    <w:p w:rsidR="00F602DE" w:rsidRPr="00093BA1" w:rsidRDefault="00F602DE" w:rsidP="00F602DE">
      <w:pPr>
        <w:pStyle w:val="Heading2"/>
        <w:rPr>
          <w:lang w:val="en-GB"/>
        </w:rPr>
      </w:pPr>
      <w:r w:rsidRPr="00093BA1">
        <w:rPr>
          <w:lang w:val="en-GB"/>
        </w:rPr>
        <w:t>Specimen transport and storage</w:t>
      </w:r>
    </w:p>
    <w:p w:rsidR="00F602DE" w:rsidRPr="00093BA1" w:rsidRDefault="00F602DE" w:rsidP="00F602DE">
      <w:pPr>
        <w:rPr>
          <w:lang w:val="en-GB"/>
        </w:rPr>
      </w:pPr>
      <w:r w:rsidRPr="00093BA1">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F602DE" w:rsidRPr="00093BA1" w:rsidRDefault="00F602DE" w:rsidP="00F602DE">
      <w:pPr>
        <w:pStyle w:val="Heading2"/>
        <w:rPr>
          <w:lang w:val="en-GB"/>
        </w:rPr>
      </w:pPr>
      <w:r w:rsidRPr="00093BA1">
        <w:rPr>
          <w:lang w:val="en-GB"/>
        </w:rPr>
        <w:t>Specimen processing</w:t>
      </w:r>
    </w:p>
    <w:p w:rsidR="00F602DE" w:rsidRPr="00093BA1" w:rsidRDefault="00F602DE" w:rsidP="00F602DE">
      <w:pPr>
        <w:pStyle w:val="Heading3"/>
        <w:rPr>
          <w:lang w:val="en-GB"/>
        </w:rPr>
      </w:pPr>
      <w:r w:rsidRPr="00093BA1">
        <w:rPr>
          <w:lang w:val="en-GB"/>
        </w:rPr>
        <w:t>Reception</w:t>
      </w:r>
    </w:p>
    <w:p w:rsidR="00F602DE" w:rsidRPr="00093BA1" w:rsidRDefault="00F602DE" w:rsidP="00F602DE">
      <w:pPr>
        <w:rPr>
          <w:lang w:val="en-GB"/>
        </w:rPr>
      </w:pPr>
      <w:r w:rsidRPr="00093BA1">
        <w:rPr>
          <w:lang w:val="en-GB"/>
        </w:rPr>
        <w:t>Log the specimen in the appropriate specimen book and assign a specimen number.</w:t>
      </w:r>
    </w:p>
    <w:p w:rsidR="00F602DE" w:rsidRDefault="00F602DE" w:rsidP="00F602DE">
      <w:pPr>
        <w:pStyle w:val="Heading3"/>
        <w:rPr>
          <w:lang w:val="en-GB"/>
        </w:rPr>
      </w:pPr>
      <w:r w:rsidRPr="00093BA1">
        <w:rPr>
          <w:lang w:val="en-GB"/>
        </w:rPr>
        <w:t>Microscopic examination</w:t>
      </w:r>
    </w:p>
    <w:p w:rsidR="0048781A" w:rsidRDefault="0048781A" w:rsidP="00460B39">
      <w:r>
        <w:t>P</w:t>
      </w:r>
      <w:r w:rsidR="00460B39">
        <w:t xml:space="preserve">repare </w:t>
      </w:r>
      <w:r>
        <w:t xml:space="preserve">a </w:t>
      </w:r>
      <w:r w:rsidR="00460B39">
        <w:t>smear for Gram stain</w:t>
      </w:r>
      <w:r>
        <w:t>.</w:t>
      </w:r>
    </w:p>
    <w:p w:rsidR="00460B39" w:rsidRDefault="00460B39" w:rsidP="00460B39">
      <w:r>
        <w:t>Look carefully for intracellular Gram negative diplococci.</w:t>
      </w:r>
    </w:p>
    <w:p w:rsidR="00401CCE" w:rsidRPr="00093BA1" w:rsidRDefault="00401CCE" w:rsidP="00401CCE">
      <w:pPr>
        <w:pStyle w:val="Heading3"/>
        <w:rPr>
          <w:lang w:val="en-GB"/>
        </w:rPr>
      </w:pPr>
      <w:r w:rsidRPr="00093BA1">
        <w:rPr>
          <w:lang w:val="en-GB"/>
        </w:rPr>
        <w:t>Culture</w:t>
      </w:r>
    </w:p>
    <w:p w:rsidR="00654EBC" w:rsidRDefault="00401CCE" w:rsidP="00401CCE">
      <w:pPr>
        <w:rPr>
          <w:lang w:val="en-GB"/>
        </w:rPr>
      </w:pPr>
      <w:r w:rsidRPr="00093BA1">
        <w:rPr>
          <w:lang w:val="en-GB"/>
        </w:rPr>
        <w:t xml:space="preserve">Inoculate </w:t>
      </w:r>
      <w:r w:rsidR="00460B39">
        <w:rPr>
          <w:lang w:val="en-GB"/>
        </w:rPr>
        <w:t>swabs onto a GC plate only.</w:t>
      </w:r>
    </w:p>
    <w:p w:rsidR="00654EBC" w:rsidRDefault="00460B39" w:rsidP="00654EBC">
      <w:pPr>
        <w:rPr>
          <w:lang w:val="en-GB"/>
        </w:rPr>
      </w:pPr>
      <w:r>
        <w:rPr>
          <w:lang w:val="en-GB"/>
        </w:rPr>
        <w:t>Incubate for up to 48 hours, inspecting daily, at 35-37</w:t>
      </w:r>
      <w:r>
        <w:rPr>
          <w:lang w:val="en-GB"/>
        </w:rPr>
        <w:sym w:font="Symbol" w:char="F0B0"/>
      </w:r>
      <w:r>
        <w:rPr>
          <w:lang w:val="en-GB"/>
        </w:rPr>
        <w:t>C in 5-10% CO</w:t>
      </w:r>
      <w:r>
        <w:rPr>
          <w:vertAlign w:val="subscript"/>
          <w:lang w:val="en-GB"/>
        </w:rPr>
        <w:t>2</w:t>
      </w:r>
      <w:r>
        <w:rPr>
          <w:lang w:val="en-GB"/>
        </w:rPr>
        <w:t>.</w:t>
      </w:r>
    </w:p>
    <w:p w:rsidR="00BF4A7B" w:rsidRDefault="00BF4A7B" w:rsidP="00BF4A7B">
      <w:pPr>
        <w:pStyle w:val="Heading1"/>
        <w:rPr>
          <w:lang w:val="en-GB"/>
        </w:rPr>
      </w:pPr>
      <w:r w:rsidRPr="00983F5B">
        <w:rPr>
          <w:lang w:val="en-GB"/>
        </w:rPr>
        <w:t>Interpretation</w:t>
      </w:r>
    </w:p>
    <w:p w:rsidR="00654EBC" w:rsidRPr="00093BA1" w:rsidRDefault="00654EBC" w:rsidP="00654EBC">
      <w:pPr>
        <w:rPr>
          <w:lang w:val="en-GB"/>
        </w:rPr>
      </w:pPr>
      <w:r w:rsidRPr="00093BA1">
        <w:rPr>
          <w:lang w:val="en-GB"/>
        </w:rPr>
        <w:t xml:space="preserve">Record </w:t>
      </w:r>
      <w:r>
        <w:rPr>
          <w:lang w:val="en-GB"/>
        </w:rPr>
        <w:t xml:space="preserve">the </w:t>
      </w:r>
      <w:r w:rsidRPr="00093BA1">
        <w:rPr>
          <w:lang w:val="en-GB"/>
        </w:rPr>
        <w:t>semi-quantita</w:t>
      </w:r>
      <w:r>
        <w:rPr>
          <w:lang w:val="en-GB"/>
        </w:rPr>
        <w:t xml:space="preserve">tive growth of </w:t>
      </w:r>
      <w:r w:rsidR="00460B39">
        <w:rPr>
          <w:lang w:val="en-GB"/>
        </w:rPr>
        <w:t xml:space="preserve">suspected </w:t>
      </w:r>
      <w:r w:rsidR="00460B39">
        <w:rPr>
          <w:i/>
          <w:lang w:val="en-GB"/>
        </w:rPr>
        <w:t xml:space="preserve">N. gonorrhoeae </w:t>
      </w:r>
      <w:r w:rsidR="00460B39">
        <w:rPr>
          <w:lang w:val="en-GB"/>
        </w:rPr>
        <w:t>colonies</w:t>
      </w:r>
      <w:r>
        <w:rPr>
          <w:lang w:val="en-GB"/>
        </w:rPr>
        <w:t xml:space="preserve"> (i.e. +/- to ++++).</w:t>
      </w:r>
    </w:p>
    <w:p w:rsidR="00BF4A7B" w:rsidRDefault="00BF4A7B" w:rsidP="00BF4A7B">
      <w:pPr>
        <w:pStyle w:val="Heading2"/>
        <w:rPr>
          <w:lang w:val="en-GB"/>
        </w:rPr>
      </w:pPr>
      <w:r w:rsidRPr="00983F5B">
        <w:rPr>
          <w:lang w:val="en-GB"/>
        </w:rPr>
        <w:t>Minimum level of identification in the laboratory</w:t>
      </w:r>
    </w:p>
    <w:p w:rsidR="00460B39" w:rsidRPr="00460B39" w:rsidRDefault="00460B39" w:rsidP="00460B39">
      <w:pPr>
        <w:rPr>
          <w:lang w:val="en-GB"/>
        </w:rPr>
      </w:pPr>
      <w:r>
        <w:rPr>
          <w:lang w:val="en-GB"/>
        </w:rPr>
        <w:t xml:space="preserve">Identify </w:t>
      </w:r>
      <w:r>
        <w:rPr>
          <w:i/>
          <w:lang w:val="en-GB"/>
        </w:rPr>
        <w:t xml:space="preserve">N. gonorrhoeae </w:t>
      </w:r>
      <w:r>
        <w:rPr>
          <w:lang w:val="en-GB"/>
        </w:rPr>
        <w:t>by colonial morphology, Gram stain (GNDC), API NH (SOP MID-002) and confirm using Phadebact GC (MID-003).</w:t>
      </w:r>
    </w:p>
    <w:p w:rsidR="00BF4A7B" w:rsidRPr="00983F5B" w:rsidRDefault="00BF4A7B" w:rsidP="00460B39">
      <w:pPr>
        <w:pStyle w:val="Heading2"/>
        <w:rPr>
          <w:lang w:val="en-GB"/>
        </w:rPr>
      </w:pPr>
      <w:r w:rsidRPr="00983F5B">
        <w:rPr>
          <w:lang w:val="en-GB"/>
        </w:rPr>
        <w:t>Antimicrobial susceptibility testing</w:t>
      </w:r>
    </w:p>
    <w:p w:rsidR="00BF4A7B" w:rsidRPr="00983F5B" w:rsidRDefault="00BF4A7B" w:rsidP="00BF4A7B">
      <w:pPr>
        <w:rPr>
          <w:lang w:val="en-GB"/>
        </w:rPr>
      </w:pPr>
      <w:r w:rsidRPr="00983F5B">
        <w:rPr>
          <w:lang w:val="en-GB"/>
        </w:rPr>
        <w:t xml:space="preserve">All </w:t>
      </w:r>
      <w:r w:rsidR="00460B39">
        <w:rPr>
          <w:i/>
          <w:lang w:val="en-GB"/>
        </w:rPr>
        <w:t>N. gonorrhoeae</w:t>
      </w:r>
      <w:r w:rsidRPr="00983F5B">
        <w:rPr>
          <w:lang w:val="en-GB"/>
        </w:rPr>
        <w:t xml:space="preserve"> isolates should have antimicrobial susceptibilities determined according to SOP </w:t>
      </w:r>
      <w:r w:rsidR="007740D7">
        <w:rPr>
          <w:lang w:val="en-GB"/>
        </w:rPr>
        <w:t>MIC-001</w:t>
      </w:r>
      <w:r w:rsidRPr="00983F5B">
        <w:rPr>
          <w:lang w:val="en-GB"/>
        </w:rPr>
        <w:t>.</w:t>
      </w:r>
    </w:p>
    <w:p w:rsidR="00BF4A7B" w:rsidRPr="00983F5B" w:rsidRDefault="00BF4A7B" w:rsidP="00BF4A7B">
      <w:pPr>
        <w:pStyle w:val="Heading2"/>
        <w:rPr>
          <w:lang w:val="en-GB"/>
        </w:rPr>
      </w:pPr>
      <w:r w:rsidRPr="00983F5B">
        <w:rPr>
          <w:lang w:val="en-GB"/>
        </w:rPr>
        <w:t>Reporting</w:t>
      </w:r>
    </w:p>
    <w:p w:rsidR="00654EBC" w:rsidRDefault="00654EBC" w:rsidP="00654EBC">
      <w:r w:rsidRPr="00A2583C">
        <w:t>Gram stain results: WBC and organisms detected.</w:t>
      </w:r>
      <w:r w:rsidR="00EA629E">
        <w:t xml:space="preserve"> The presence of intra-cellular Gram negative diplococci should be communicated to the clinician urgently.</w:t>
      </w:r>
    </w:p>
    <w:p w:rsidR="00C178D0" w:rsidRPr="00C178D0" w:rsidRDefault="00C178D0" w:rsidP="00654EBC">
      <w:r>
        <w:lastRenderedPageBreak/>
        <w:t xml:space="preserve">Culture results: </w:t>
      </w:r>
      <w:r w:rsidR="00460B39">
        <w:t>Presence or absence of</w:t>
      </w:r>
      <w:r w:rsidRPr="00A2583C">
        <w:t xml:space="preserve"> </w:t>
      </w:r>
      <w:r>
        <w:rPr>
          <w:i/>
        </w:rPr>
        <w:t>N. gonorrhoeae</w:t>
      </w:r>
      <w:r w:rsidR="00460B39">
        <w:t>.</w:t>
      </w:r>
    </w:p>
    <w:p w:rsidR="007740D7" w:rsidRPr="00093BA1" w:rsidRDefault="007740D7" w:rsidP="007740D7">
      <w:pPr>
        <w:pStyle w:val="Heading1"/>
        <w:rPr>
          <w:lang w:val="en-GB"/>
        </w:rPr>
      </w:pPr>
      <w:r w:rsidRPr="00093BA1">
        <w:rPr>
          <w:lang w:val="en-GB"/>
        </w:rPr>
        <w:t>Quality assurance</w:t>
      </w:r>
    </w:p>
    <w:p w:rsidR="007740D7" w:rsidRPr="00093BA1" w:rsidRDefault="007740D7" w:rsidP="007740D7">
      <w:pPr>
        <w:rPr>
          <w:lang w:val="en-GB"/>
        </w:rPr>
      </w:pPr>
      <w:r w:rsidRPr="00093BA1">
        <w:rPr>
          <w:lang w:val="en-GB"/>
        </w:rPr>
        <w:t>Media and identification tests should be quality controlled according to SOP</w:t>
      </w:r>
      <w:r w:rsidR="00460B39">
        <w:rPr>
          <w:lang w:val="en-GB"/>
        </w:rPr>
        <w:t xml:space="preserve"> MED-001</w:t>
      </w:r>
      <w:r w:rsidRPr="00093BA1">
        <w:rPr>
          <w:lang w:val="en-GB"/>
        </w:rPr>
        <w:t>.</w:t>
      </w:r>
    </w:p>
    <w:p w:rsidR="007740D7" w:rsidRPr="00093BA1" w:rsidRDefault="007740D7" w:rsidP="007740D7">
      <w:pPr>
        <w:pStyle w:val="Heading1"/>
        <w:rPr>
          <w:lang w:val="en-GB"/>
        </w:rPr>
      </w:pPr>
      <w:r w:rsidRPr="00093BA1">
        <w:rPr>
          <w:lang w:val="en-GB"/>
        </w:rPr>
        <w:t>Limitations</w:t>
      </w:r>
    </w:p>
    <w:p w:rsidR="007740D7" w:rsidRPr="00093BA1" w:rsidRDefault="007740D7" w:rsidP="007740D7">
      <w:pPr>
        <w:rPr>
          <w:lang w:val="en-GB"/>
        </w:rPr>
      </w:pPr>
      <w:r w:rsidRPr="00093BA1">
        <w:rPr>
          <w:lang w:val="en-GB"/>
        </w:rPr>
        <w:t>Prior antimicrobial use may result in negative cultures</w:t>
      </w:r>
      <w:r>
        <w:rPr>
          <w:lang w:val="en-GB"/>
        </w:rPr>
        <w:t>.</w:t>
      </w:r>
    </w:p>
    <w:p w:rsidR="00BF4A7B" w:rsidRPr="00983F5B" w:rsidRDefault="00BF4A7B" w:rsidP="00BF4A7B">
      <w:pPr>
        <w:pStyle w:val="Heading1"/>
        <w:rPr>
          <w:lang w:val="en-GB"/>
        </w:rPr>
      </w:pPr>
      <w:r w:rsidRPr="00983F5B">
        <w:rPr>
          <w:lang w:val="en-GB"/>
        </w:rPr>
        <w:t>References</w:t>
      </w:r>
    </w:p>
    <w:p w:rsidR="00BF4A7B" w:rsidRDefault="007740D7" w:rsidP="007740D7">
      <w:pPr>
        <w:pStyle w:val="ListParagraph"/>
        <w:numPr>
          <w:ilvl w:val="0"/>
          <w:numId w:val="6"/>
        </w:numPr>
        <w:rPr>
          <w:lang w:val="en-GB"/>
        </w:rPr>
      </w:pPr>
      <w:r>
        <w:rPr>
          <w:lang w:val="en-GB"/>
        </w:rPr>
        <w:t xml:space="preserve">Health Protection </w:t>
      </w:r>
      <w:r w:rsidR="004162C5">
        <w:rPr>
          <w:lang w:val="en-GB"/>
        </w:rPr>
        <w:t>A</w:t>
      </w:r>
      <w:r>
        <w:rPr>
          <w:lang w:val="en-GB"/>
        </w:rPr>
        <w:t>gency, UK SOP B24: Investigation of Genital Tract and Associated Specimens (Issue 4.3; December 2012).</w:t>
      </w:r>
    </w:p>
    <w:p w:rsidR="007740D7" w:rsidRDefault="007740D7" w:rsidP="007740D7">
      <w:pPr>
        <w:pStyle w:val="ListParagraph"/>
        <w:numPr>
          <w:ilvl w:val="0"/>
          <w:numId w:val="6"/>
        </w:numPr>
        <w:rPr>
          <w:lang w:val="en-GB"/>
        </w:rPr>
      </w:pPr>
      <w:proofErr w:type="spellStart"/>
      <w:r>
        <w:rPr>
          <w:lang w:val="en-GB"/>
        </w:rPr>
        <w:t>Hawkey</w:t>
      </w:r>
      <w:proofErr w:type="spellEnd"/>
      <w:r>
        <w:rPr>
          <w:lang w:val="en-GB"/>
        </w:rPr>
        <w:t xml:space="preserve">, P and Lewis, D. </w:t>
      </w:r>
      <w:r w:rsidR="009F131C">
        <w:rPr>
          <w:lang w:val="en-GB"/>
        </w:rPr>
        <w:t>Medical Bacter</w:t>
      </w:r>
      <w:r>
        <w:rPr>
          <w:lang w:val="en-GB"/>
        </w:rPr>
        <w:t>iology. 2</w:t>
      </w:r>
      <w:r w:rsidRPr="007740D7">
        <w:rPr>
          <w:vertAlign w:val="superscript"/>
          <w:lang w:val="en-GB"/>
        </w:rPr>
        <w:t>nd</w:t>
      </w:r>
      <w:r>
        <w:rPr>
          <w:lang w:val="en-GB"/>
        </w:rPr>
        <w:t xml:space="preserve"> Edition (2004). Oxford University Press.</w:t>
      </w:r>
    </w:p>
    <w:p w:rsidR="00AD2D4E" w:rsidRDefault="00AD2D4E">
      <w:pPr>
        <w:spacing w:after="0" w:line="240" w:lineRule="auto"/>
        <w:jc w:val="left"/>
        <w:rPr>
          <w:lang w:val="en-GB"/>
        </w:rPr>
      </w:pPr>
    </w:p>
    <w:p w:rsidR="005318DB" w:rsidRDefault="005318DB" w:rsidP="00BF4A7B">
      <w:pPr>
        <w:pStyle w:val="Heading1"/>
        <w:rPr>
          <w:lang w:val="en-GB"/>
        </w:rPr>
        <w:sectPr w:rsidR="005318DB" w:rsidSect="006C64AF">
          <w:headerReference w:type="default" r:id="rId11"/>
          <w:pgSz w:w="12240" w:h="15840"/>
          <w:pgMar w:top="1440" w:right="1800" w:bottom="1440" w:left="1800" w:header="708" w:footer="708" w:gutter="0"/>
          <w:cols w:space="708"/>
          <w:docGrid w:linePitch="326"/>
        </w:sectPr>
      </w:pPr>
    </w:p>
    <w:p w:rsidR="00BF4A7B" w:rsidRPr="00983F5B" w:rsidRDefault="00BF4A7B" w:rsidP="00BF4A7B">
      <w:pPr>
        <w:pStyle w:val="Heading1"/>
        <w:rPr>
          <w:lang w:val="en-GB"/>
        </w:rPr>
      </w:pPr>
      <w:r w:rsidRPr="00983F5B">
        <w:rPr>
          <w:lang w:val="en-GB"/>
        </w:rPr>
        <w:lastRenderedPageBreak/>
        <w:t>Synopsis / Bench aid</w:t>
      </w:r>
    </w:p>
    <w:p w:rsidR="005318DB" w:rsidRPr="00983F5B" w:rsidRDefault="0048781A" w:rsidP="00466233">
      <w:pPr>
        <w:jc w:val="center"/>
        <w:rPr>
          <w:lang w:val="en-GB"/>
        </w:rPr>
        <w:sectPr w:rsidR="005318DB" w:rsidRPr="00983F5B" w:rsidSect="005318DB">
          <w:pgSz w:w="15840" w:h="12240" w:orient="landscape"/>
          <w:pgMar w:top="1797" w:right="1440" w:bottom="1797" w:left="1440" w:header="709" w:footer="709" w:gutter="0"/>
          <w:cols w:space="708"/>
          <w:docGrid w:linePitch="326"/>
        </w:sectPr>
      </w:pPr>
      <w:r>
        <w:rPr>
          <w:noProof/>
          <w:lang w:val="en-GB" w:eastAsia="en-GB"/>
        </w:rPr>
        <w:drawing>
          <wp:inline distT="0" distB="0" distL="0" distR="0">
            <wp:extent cx="4239260" cy="45840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9260" cy="4584065"/>
                    </a:xfrm>
                    <a:prstGeom prst="rect">
                      <a:avLst/>
                    </a:prstGeom>
                    <a:noFill/>
                    <a:ln>
                      <a:noFill/>
                    </a:ln>
                  </pic:spPr>
                </pic:pic>
              </a:graphicData>
            </a:graphic>
          </wp:inline>
        </w:drawing>
      </w:r>
    </w:p>
    <w:p w:rsidR="00B424F6" w:rsidRPr="00983F5B" w:rsidRDefault="00BF4A7B" w:rsidP="00BF4A7B">
      <w:pPr>
        <w:pStyle w:val="Heading1"/>
        <w:rPr>
          <w:lang w:val="en-GB"/>
        </w:rPr>
      </w:pPr>
      <w:r w:rsidRPr="00983F5B">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B0105C" w:rsidRPr="00983F5B"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B0105C" w:rsidRPr="00093BA1" w:rsidRDefault="00B0105C" w:rsidP="00D52743">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B0105C" w:rsidRPr="00983F5B" w:rsidTr="007A5E14">
        <w:trPr>
          <w:trHeight w:val="524"/>
          <w:jc w:val="center"/>
        </w:trPr>
        <w:tc>
          <w:tcPr>
            <w:tcW w:w="4111" w:type="dxa"/>
            <w:tcBorders>
              <w:top w:val="single" w:sz="12"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B0105C" w:rsidRPr="00093BA1" w:rsidRDefault="00460B39" w:rsidP="00460B39">
            <w:pPr>
              <w:jc w:val="left"/>
              <w:rPr>
                <w:szCs w:val="24"/>
                <w:lang w:val="en-GB" w:bidi="x-none"/>
              </w:rPr>
            </w:pPr>
            <w:r>
              <w:rPr>
                <w:lang w:val="en-GB"/>
              </w:rPr>
              <w:t xml:space="preserve">Culture of penile/urethral or rectal </w:t>
            </w:r>
            <w:r w:rsidR="00B0105C">
              <w:rPr>
                <w:lang w:val="en-GB"/>
              </w:rPr>
              <w:t>swabs</w:t>
            </w:r>
          </w:p>
        </w:tc>
        <w:tc>
          <w:tcPr>
            <w:tcW w:w="4679" w:type="dxa"/>
            <w:tcBorders>
              <w:top w:val="single" w:sz="12"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B0105C" w:rsidRPr="00093BA1" w:rsidRDefault="00B300CE" w:rsidP="00B300CE">
            <w:pPr>
              <w:jc w:val="left"/>
              <w:rPr>
                <w:szCs w:val="24"/>
                <w:lang w:val="en-GB" w:bidi="x-none"/>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B0105C" w:rsidRPr="00983F5B" w:rsidTr="007A5E14">
        <w:trPr>
          <w:trHeight w:val="350"/>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Daily</w:t>
            </w:r>
          </w:p>
        </w:tc>
      </w:tr>
      <w:tr w:rsidR="00B0105C" w:rsidRPr="00983F5B" w:rsidTr="007A5E14">
        <w:trPr>
          <w:jc w:val="center"/>
        </w:trPr>
        <w:tc>
          <w:tcPr>
            <w:tcW w:w="4111" w:type="dxa"/>
            <w:tcBorders>
              <w:top w:val="single" w:sz="6" w:space="0" w:color="auto"/>
              <w:lef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1. Autoclaved liquid</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 xml:space="preserve">2. Potentially infectious material in sample  </w:t>
            </w:r>
          </w:p>
          <w:p w:rsidR="00B0105C" w:rsidRPr="00093BA1" w:rsidRDefault="00B0105C" w:rsidP="00D52743">
            <w:pPr>
              <w:spacing w:after="0" w:line="240" w:lineRule="auto"/>
              <w:jc w:val="left"/>
              <w:rPr>
                <w:rFonts w:eastAsia="Times New Roman"/>
                <w:szCs w:val="24"/>
                <w:lang w:val="en-GB" w:bidi="x-none"/>
              </w:rPr>
            </w:pPr>
            <w:r w:rsidRPr="00093BA1">
              <w:rPr>
                <w:rFonts w:eastAsia="Times New Roman"/>
                <w:szCs w:val="24"/>
                <w:lang w:val="en-GB" w:bidi="x-none"/>
              </w:rPr>
              <w:t>3. Potentially pathogenic bacteria</w:t>
            </w:r>
          </w:p>
          <w:p w:rsidR="00B0105C" w:rsidRPr="00093BA1" w:rsidRDefault="00B0105C" w:rsidP="00D52743">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B300CE" w:rsidRPr="00093BA1" w:rsidRDefault="00B300CE" w:rsidP="00B300CE">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B0105C" w:rsidRPr="00093BA1" w:rsidRDefault="00B300CE" w:rsidP="00B300CE">
            <w:pPr>
              <w:spacing w:after="0" w:line="240" w:lineRule="auto"/>
              <w:jc w:val="left"/>
              <w:rPr>
                <w:rFonts w:eastAsia="Times New Roman"/>
                <w:color w:val="0D0D0D" w:themeColor="text1" w:themeTint="F2"/>
                <w:szCs w:val="24"/>
                <w:lang w:val="en-GB"/>
              </w:rPr>
            </w:pPr>
            <w:r w:rsidRPr="00093BA1">
              <w:rPr>
                <w:szCs w:val="24"/>
                <w:lang w:val="en-GB" w:bidi="x-none"/>
              </w:rPr>
              <w:t>No</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B0105C" w:rsidRPr="00093BA1" w:rsidRDefault="00B0105C"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Training in good laboratory practices (GLP)</w:t>
            </w:r>
          </w:p>
          <w:p w:rsidR="00B0105C" w:rsidRPr="00460B39" w:rsidRDefault="00B0105C" w:rsidP="00460B39">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Appropriate PPE (lab coat, gloves, eye protection)</w:t>
            </w:r>
          </w:p>
        </w:tc>
      </w:tr>
      <w:tr w:rsidR="00B0105C" w:rsidRPr="00983F5B" w:rsidTr="007A5E14">
        <w:trPr>
          <w:jc w:val="center"/>
        </w:trPr>
        <w:tc>
          <w:tcPr>
            <w:tcW w:w="8790" w:type="dxa"/>
            <w:gridSpan w:val="2"/>
            <w:tcBorders>
              <w:top w:val="single" w:sz="6" w:space="0" w:color="auto"/>
              <w:left w:val="single" w:sz="12" w:space="0" w:color="auto"/>
              <w:right w:val="single" w:sz="12" w:space="0" w:color="auto"/>
            </w:tcBorders>
          </w:tcPr>
          <w:p w:rsidR="00B0105C" w:rsidRPr="00093BA1" w:rsidRDefault="00B0105C"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B0105C" w:rsidRPr="00093BA1" w:rsidRDefault="00B0105C" w:rsidP="00D52743">
            <w:pPr>
              <w:spacing w:after="0" w:line="240" w:lineRule="auto"/>
              <w:jc w:val="left"/>
              <w:rPr>
                <w:b/>
                <w:bCs/>
                <w:szCs w:val="24"/>
                <w:lang w:val="en-GB" w:bidi="x-none"/>
              </w:rPr>
            </w:pPr>
            <w:r w:rsidRPr="00093BA1">
              <w:rPr>
                <w:szCs w:val="24"/>
                <w:lang w:val="en-GB" w:bidi="x-none"/>
              </w:rPr>
              <w:t>Observation and supervision by senior staff</w:t>
            </w:r>
          </w:p>
        </w:tc>
      </w:tr>
      <w:tr w:rsidR="00B300CE" w:rsidRPr="00983F5B" w:rsidTr="007A5E14">
        <w:trPr>
          <w:jc w:val="center"/>
        </w:trPr>
        <w:tc>
          <w:tcPr>
            <w:tcW w:w="4111" w:type="dxa"/>
            <w:tcBorders>
              <w:top w:val="single" w:sz="6" w:space="0" w:color="auto"/>
              <w:left w:val="single" w:sz="12" w:space="0" w:color="auto"/>
              <w:bottom w:val="single" w:sz="8"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B300CE" w:rsidRPr="00093BA1" w:rsidRDefault="00B300CE" w:rsidP="00D52743">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B300CE" w:rsidRPr="00093BA1" w:rsidRDefault="00B300CE" w:rsidP="00D52743">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B300CE" w:rsidRPr="00093BA1" w:rsidRDefault="00B300CE" w:rsidP="00D52743">
            <w:pPr>
              <w:spacing w:after="0" w:line="240" w:lineRule="auto"/>
              <w:jc w:val="left"/>
              <w:rPr>
                <w:szCs w:val="24"/>
                <w:lang w:val="en-GB" w:bidi="x-none"/>
              </w:rPr>
            </w:pPr>
            <w:r w:rsidRPr="00093BA1">
              <w:rPr>
                <w:szCs w:val="24"/>
                <w:lang w:val="en-GB" w:bidi="x-none"/>
              </w:rPr>
              <w:t>GLP</w:t>
            </w:r>
          </w:p>
        </w:tc>
      </w:tr>
      <w:tr w:rsidR="00B300CE" w:rsidRPr="00983F5B"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B300CE" w:rsidRPr="00093BA1" w:rsidRDefault="00B300CE" w:rsidP="00D52743">
            <w:pPr>
              <w:spacing w:after="0" w:line="240" w:lineRule="auto"/>
              <w:jc w:val="left"/>
              <w:rPr>
                <w:szCs w:val="24"/>
                <w:lang w:val="en-GB" w:bidi="x-none"/>
              </w:rPr>
            </w:pPr>
            <w:r w:rsidRPr="00093BA1">
              <w:rPr>
                <w:szCs w:val="24"/>
                <w:lang w:val="en-GB" w:bidi="x-none"/>
              </w:rPr>
              <w:t>1. Report all incidents to Safety Adviser</w:t>
            </w:r>
          </w:p>
          <w:p w:rsidR="00B300CE" w:rsidRPr="00093BA1" w:rsidRDefault="00B300CE" w:rsidP="00D52743">
            <w:pPr>
              <w:spacing w:after="0" w:line="240" w:lineRule="auto"/>
              <w:jc w:val="left"/>
              <w:rPr>
                <w:szCs w:val="24"/>
                <w:lang w:val="en-GB" w:bidi="x-none"/>
              </w:rPr>
            </w:pPr>
            <w:r w:rsidRPr="00093BA1">
              <w:rPr>
                <w:szCs w:val="24"/>
                <w:lang w:val="en-GB" w:bidi="x-none"/>
              </w:rPr>
              <w:t>2. Use eyewash for splashes</w:t>
            </w:r>
          </w:p>
          <w:p w:rsidR="00B300CE" w:rsidRPr="00093BA1" w:rsidRDefault="00B300CE" w:rsidP="00D52743">
            <w:pPr>
              <w:spacing w:after="0" w:line="240" w:lineRule="auto"/>
              <w:jc w:val="left"/>
              <w:rPr>
                <w:rFonts w:eastAsia="Times New Roman"/>
                <w:color w:val="0D0D0D" w:themeColor="text1" w:themeTint="F2"/>
                <w:szCs w:val="24"/>
                <w:lang w:val="en-GB"/>
              </w:rPr>
            </w:pPr>
            <w:r w:rsidRPr="00093BA1">
              <w:rPr>
                <w:szCs w:val="24"/>
                <w:lang w:val="en-GB"/>
              </w:rPr>
              <w:t>3. Clean up spills using 1% Virkon or chemical spill kit</w:t>
            </w:r>
          </w:p>
        </w:tc>
        <w:tc>
          <w:tcPr>
            <w:tcW w:w="4679" w:type="dxa"/>
            <w:tcBorders>
              <w:top w:val="single" w:sz="8" w:space="0" w:color="auto"/>
              <w:left w:val="single" w:sz="8" w:space="0" w:color="auto"/>
              <w:bottom w:val="single" w:sz="12" w:space="0" w:color="auto"/>
              <w:right w:val="single" w:sz="12" w:space="0" w:color="auto"/>
            </w:tcBorders>
          </w:tcPr>
          <w:p w:rsidR="00B300CE" w:rsidRPr="00093BA1" w:rsidRDefault="00B300CE" w:rsidP="00D52743">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1. Sharps discarded into appropriate rigid containers for incineration</w:t>
            </w:r>
          </w:p>
          <w:p w:rsidR="00B300CE" w:rsidRPr="00093BA1" w:rsidRDefault="00B300CE" w:rsidP="00D52743">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2. Infectious waste discarded into autoclave bags or 1% Virkon solution prior to autoclaving and subsequent incineration</w:t>
            </w:r>
          </w:p>
          <w:p w:rsidR="00B300CE" w:rsidRPr="00093BA1" w:rsidRDefault="00B300CE" w:rsidP="00D52743">
            <w:pPr>
              <w:spacing w:after="0" w:line="240" w:lineRule="auto"/>
              <w:jc w:val="left"/>
              <w:rPr>
                <w:sz w:val="40"/>
                <w:szCs w:val="24"/>
                <w:lang w:val="en-GB" w:bidi="x-none"/>
              </w:rPr>
            </w:pPr>
            <w:r w:rsidRPr="00093BA1">
              <w:rPr>
                <w:rFonts w:eastAsia="Times New Roman" w:cs="Helvetica"/>
                <w:color w:val="0D0D0D" w:themeColor="text1" w:themeTint="F2"/>
                <w:szCs w:val="16"/>
                <w:lang w:val="en-GB"/>
              </w:rPr>
              <w:t>3. Chemical waste disposed of according to manufacturer’s instructions</w:t>
            </w:r>
          </w:p>
        </w:tc>
      </w:tr>
    </w:tbl>
    <w:p w:rsidR="00BF4A7B" w:rsidRPr="00983F5B" w:rsidRDefault="00BF4A7B" w:rsidP="00BF4A7B">
      <w:pPr>
        <w:rPr>
          <w:lang w:val="en-GB"/>
        </w:rPr>
      </w:pPr>
    </w:p>
    <w:sectPr w:rsidR="00BF4A7B" w:rsidRPr="00983F5B"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CE" w:rsidRDefault="006723CE" w:rsidP="00D219C6">
      <w:r>
        <w:separator/>
      </w:r>
    </w:p>
  </w:endnote>
  <w:endnote w:type="continuationSeparator" w:id="0">
    <w:p w:rsidR="006723CE" w:rsidRDefault="006723CE"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2D0813">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2D0813">
      <w:rPr>
        <w:rFonts w:ascii="Century Gothic" w:hAnsi="Century Gothic"/>
        <w:noProof/>
        <w:lang w:val="en-GB"/>
      </w:rPr>
      <w:t>6</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CE" w:rsidRDefault="006723CE" w:rsidP="00D219C6">
      <w:r>
        <w:separator/>
      </w:r>
    </w:p>
  </w:footnote>
  <w:footnote w:type="continuationSeparator" w:id="0">
    <w:p w:rsidR="006723CE" w:rsidRDefault="006723CE"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13" w:rsidRPr="002D0813" w:rsidRDefault="002D0813">
    <w:pPr>
      <w:rPr>
        <w:sz w:val="20"/>
      </w:rPr>
    </w:pPr>
    <w:r w:rsidRPr="002D0813">
      <w:rPr>
        <w:sz w:val="20"/>
      </w:rPr>
      <mc:AlternateContent>
        <mc:Choice Requires="wps">
          <w:drawing>
            <wp:anchor distT="0" distB="0" distL="114300" distR="114300" simplePos="0" relativeHeight="251660288" behindDoc="0" locked="0" layoutInCell="1" allowOverlap="1" wp14:anchorId="65D267FA" wp14:editId="53EBD835">
              <wp:simplePos x="0" y="0"/>
              <wp:positionH relativeFrom="margin">
                <wp:posOffset>2949575</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13" w:rsidRDefault="002D0813" w:rsidP="002D0813">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2.2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" stroked="f">
              <v:textbox>
                <w:txbxContent>
                  <w:p w:rsidR="002D0813" w:rsidRDefault="002D0813" w:rsidP="002D0813">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2D0813">
      <w:rPr>
        <w:sz w:val="20"/>
      </w:rPr>
      <w:drawing>
        <wp:anchor distT="0" distB="0" distL="114300" distR="114300" simplePos="0" relativeHeight="251659264" behindDoc="0" locked="0" layoutInCell="1" allowOverlap="1" wp14:anchorId="19D242CC" wp14:editId="325941E9">
          <wp:simplePos x="0" y="0"/>
          <wp:positionH relativeFrom="margin">
            <wp:posOffset>-510540</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2D0813" w:rsidRPr="002D0813" w:rsidRDefault="002D0813">
    <w:pPr>
      <w:rPr>
        <w:sz w:val="20"/>
      </w:rPr>
    </w:pPr>
  </w:p>
  <w:p w:rsidR="002D0813" w:rsidRPr="002D0813" w:rsidRDefault="002D0813">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3777E8" w:rsidP="00460B39">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460B39">
            <w:rPr>
              <w:rFonts w:ascii="Century Gothic" w:eastAsia="Times New Roman" w:hAnsi="Century Gothic" w:cs="Arial"/>
              <w:smallCaps/>
              <w:color w:val="auto"/>
              <w:sz w:val="24"/>
              <w:szCs w:val="24"/>
              <w:lang w:val="en-GB"/>
            </w:rPr>
            <w:t>penis/urethral &amp; rectal</w:t>
          </w:r>
          <w:r w:rsidR="00C958D2">
            <w:rPr>
              <w:rFonts w:ascii="Century Gothic" w:eastAsia="Times New Roman" w:hAnsi="Century Gothic" w:cs="Arial"/>
              <w:smallCaps/>
              <w:color w:val="auto"/>
              <w:sz w:val="24"/>
              <w:szCs w:val="24"/>
              <w:lang w:val="en-GB"/>
            </w:rPr>
            <w:t xml:space="preserve"> swabs</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7647B5">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3777E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2D0813"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2D0813"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13" w:rsidRPr="002D0813" w:rsidRDefault="002D0813">
    <w:pPr>
      <w:rPr>
        <w:sz w:val="20"/>
      </w:rPr>
    </w:pPr>
    <w:r w:rsidRPr="002D0813">
      <w:rPr>
        <w:sz w:val="20"/>
      </w:rPr>
      <w:drawing>
        <wp:anchor distT="0" distB="0" distL="114300" distR="114300" simplePos="0" relativeHeight="251662336" behindDoc="0" locked="0" layoutInCell="1" allowOverlap="1" wp14:anchorId="1ED921AB" wp14:editId="0AED6A00">
          <wp:simplePos x="0" y="0"/>
          <wp:positionH relativeFrom="margin">
            <wp:posOffset>-510540</wp:posOffset>
          </wp:positionH>
          <wp:positionV relativeFrom="margin">
            <wp:posOffset>-1864360</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2D0813">
      <w:rPr>
        <w:sz w:val="20"/>
      </w:rPr>
      <mc:AlternateContent>
        <mc:Choice Requires="wps">
          <w:drawing>
            <wp:anchor distT="0" distB="0" distL="114300" distR="114300" simplePos="0" relativeHeight="251663360" behindDoc="0" locked="0" layoutInCell="1" allowOverlap="1" wp14:anchorId="6EF385A2" wp14:editId="0F5A8626">
              <wp:simplePos x="0" y="0"/>
              <wp:positionH relativeFrom="margin">
                <wp:posOffset>2949575</wp:posOffset>
              </wp:positionH>
              <wp:positionV relativeFrom="paragraph">
                <wp:posOffset>-74295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813" w:rsidRDefault="002D0813" w:rsidP="002D0813">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2.25pt;margin-top:-5.85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kgwIAABY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" stroked="f">
              <v:textbox>
                <w:txbxContent>
                  <w:p w:rsidR="002D0813" w:rsidRDefault="002D0813" w:rsidP="002D0813">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2D0813" w:rsidRPr="002D0813" w:rsidRDefault="002D0813">
    <w:pPr>
      <w:rPr>
        <w:sz w:val="20"/>
      </w:rPr>
    </w:pPr>
  </w:p>
  <w:p w:rsidR="002D0813" w:rsidRPr="002D0813" w:rsidRDefault="002D0813">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460B39" w:rsidP="00C958D2">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Culture of penis/urethral &amp; rectal swabs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7647B5">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2D0813"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39964BE"/>
    <w:multiLevelType w:val="hybridMultilevel"/>
    <w:tmpl w:val="5B1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80D30"/>
    <w:multiLevelType w:val="hybridMultilevel"/>
    <w:tmpl w:val="135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14B39"/>
    <w:multiLevelType w:val="hybridMultilevel"/>
    <w:tmpl w:val="210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80607"/>
    <w:multiLevelType w:val="hybridMultilevel"/>
    <w:tmpl w:val="D20E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904D8"/>
    <w:multiLevelType w:val="hybridMultilevel"/>
    <w:tmpl w:val="F4D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7"/>
  </w:num>
  <w:num w:numId="6">
    <w:abstractNumId w:val="10"/>
  </w:num>
  <w:num w:numId="7">
    <w:abstractNumId w:val="4"/>
  </w:num>
  <w:num w:numId="8">
    <w:abstractNumId w:val="8"/>
  </w:num>
  <w:num w:numId="9">
    <w:abstractNumId w:val="3"/>
  </w:num>
  <w:num w:numId="10">
    <w:abstractNumId w:val="5"/>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E8"/>
    <w:rsid w:val="0000258D"/>
    <w:rsid w:val="00014B7A"/>
    <w:rsid w:val="0003682A"/>
    <w:rsid w:val="00037FFC"/>
    <w:rsid w:val="00050523"/>
    <w:rsid w:val="00052E0B"/>
    <w:rsid w:val="0006065D"/>
    <w:rsid w:val="00061722"/>
    <w:rsid w:val="00070AE6"/>
    <w:rsid w:val="000A6390"/>
    <w:rsid w:val="000C042E"/>
    <w:rsid w:val="000C0E7D"/>
    <w:rsid w:val="000D2BED"/>
    <w:rsid w:val="000D7864"/>
    <w:rsid w:val="000E42C8"/>
    <w:rsid w:val="000F6C11"/>
    <w:rsid w:val="00107CFF"/>
    <w:rsid w:val="00111502"/>
    <w:rsid w:val="0013305D"/>
    <w:rsid w:val="0013416E"/>
    <w:rsid w:val="00135CD7"/>
    <w:rsid w:val="001416B4"/>
    <w:rsid w:val="001541D0"/>
    <w:rsid w:val="00155726"/>
    <w:rsid w:val="00165CAB"/>
    <w:rsid w:val="001903EE"/>
    <w:rsid w:val="001B1A3E"/>
    <w:rsid w:val="001B2E44"/>
    <w:rsid w:val="001C0D5D"/>
    <w:rsid w:val="001C12FA"/>
    <w:rsid w:val="001C5564"/>
    <w:rsid w:val="001C78DD"/>
    <w:rsid w:val="001D3069"/>
    <w:rsid w:val="001D6CA5"/>
    <w:rsid w:val="001E1CF0"/>
    <w:rsid w:val="001F1FEE"/>
    <w:rsid w:val="00205001"/>
    <w:rsid w:val="00220450"/>
    <w:rsid w:val="002207D4"/>
    <w:rsid w:val="00222C33"/>
    <w:rsid w:val="002378B2"/>
    <w:rsid w:val="0025785F"/>
    <w:rsid w:val="00262CF1"/>
    <w:rsid w:val="002720F6"/>
    <w:rsid w:val="00273D46"/>
    <w:rsid w:val="00284355"/>
    <w:rsid w:val="00287235"/>
    <w:rsid w:val="002A0619"/>
    <w:rsid w:val="002B0540"/>
    <w:rsid w:val="002C531C"/>
    <w:rsid w:val="002D0813"/>
    <w:rsid w:val="002D7096"/>
    <w:rsid w:val="002E454D"/>
    <w:rsid w:val="002E4C34"/>
    <w:rsid w:val="002E5A8D"/>
    <w:rsid w:val="002F06D7"/>
    <w:rsid w:val="00314692"/>
    <w:rsid w:val="003403D8"/>
    <w:rsid w:val="00342E28"/>
    <w:rsid w:val="00374FCE"/>
    <w:rsid w:val="003767D9"/>
    <w:rsid w:val="003777E8"/>
    <w:rsid w:val="003A7A8A"/>
    <w:rsid w:val="003E0700"/>
    <w:rsid w:val="003E203F"/>
    <w:rsid w:val="003E3668"/>
    <w:rsid w:val="00401CCE"/>
    <w:rsid w:val="00405ACC"/>
    <w:rsid w:val="004162C5"/>
    <w:rsid w:val="00427502"/>
    <w:rsid w:val="00430CFE"/>
    <w:rsid w:val="00445588"/>
    <w:rsid w:val="00460B39"/>
    <w:rsid w:val="00466233"/>
    <w:rsid w:val="00477C4D"/>
    <w:rsid w:val="0048781A"/>
    <w:rsid w:val="004927F0"/>
    <w:rsid w:val="004A35E6"/>
    <w:rsid w:val="004A37C2"/>
    <w:rsid w:val="004B5F42"/>
    <w:rsid w:val="004C4C4B"/>
    <w:rsid w:val="004C61F8"/>
    <w:rsid w:val="00515D26"/>
    <w:rsid w:val="005203B2"/>
    <w:rsid w:val="005318DB"/>
    <w:rsid w:val="005551B7"/>
    <w:rsid w:val="005628F5"/>
    <w:rsid w:val="005651CF"/>
    <w:rsid w:val="005A1B55"/>
    <w:rsid w:val="005B251F"/>
    <w:rsid w:val="005C3BF6"/>
    <w:rsid w:val="005E02C6"/>
    <w:rsid w:val="005E2910"/>
    <w:rsid w:val="005E2D38"/>
    <w:rsid w:val="00607BC3"/>
    <w:rsid w:val="00632989"/>
    <w:rsid w:val="006538C8"/>
    <w:rsid w:val="00654EBC"/>
    <w:rsid w:val="006723CE"/>
    <w:rsid w:val="006B133B"/>
    <w:rsid w:val="006C1DB9"/>
    <w:rsid w:val="006C4703"/>
    <w:rsid w:val="006C64AF"/>
    <w:rsid w:val="006D6F46"/>
    <w:rsid w:val="00726349"/>
    <w:rsid w:val="00726755"/>
    <w:rsid w:val="0073622C"/>
    <w:rsid w:val="00736DAA"/>
    <w:rsid w:val="00742CE0"/>
    <w:rsid w:val="0075617E"/>
    <w:rsid w:val="007647B5"/>
    <w:rsid w:val="007656C3"/>
    <w:rsid w:val="007740D7"/>
    <w:rsid w:val="0078032C"/>
    <w:rsid w:val="00797C0E"/>
    <w:rsid w:val="007B35C0"/>
    <w:rsid w:val="007C267D"/>
    <w:rsid w:val="007C4674"/>
    <w:rsid w:val="007C7203"/>
    <w:rsid w:val="007C7A94"/>
    <w:rsid w:val="007D1756"/>
    <w:rsid w:val="007E2C81"/>
    <w:rsid w:val="007F2718"/>
    <w:rsid w:val="008166E6"/>
    <w:rsid w:val="00820277"/>
    <w:rsid w:val="00827B5D"/>
    <w:rsid w:val="00831B07"/>
    <w:rsid w:val="0084638E"/>
    <w:rsid w:val="00872110"/>
    <w:rsid w:val="00890C79"/>
    <w:rsid w:val="0089285A"/>
    <w:rsid w:val="008A6CEE"/>
    <w:rsid w:val="008E5800"/>
    <w:rsid w:val="008E6A1F"/>
    <w:rsid w:val="008F1617"/>
    <w:rsid w:val="008F61D3"/>
    <w:rsid w:val="0090027C"/>
    <w:rsid w:val="00912418"/>
    <w:rsid w:val="00922F74"/>
    <w:rsid w:val="00924A58"/>
    <w:rsid w:val="00935AF1"/>
    <w:rsid w:val="00935C33"/>
    <w:rsid w:val="00960FDF"/>
    <w:rsid w:val="00983F5B"/>
    <w:rsid w:val="009914D3"/>
    <w:rsid w:val="00993F92"/>
    <w:rsid w:val="00995876"/>
    <w:rsid w:val="009C3E57"/>
    <w:rsid w:val="009C6903"/>
    <w:rsid w:val="009E09F2"/>
    <w:rsid w:val="009E0BD9"/>
    <w:rsid w:val="009E56D7"/>
    <w:rsid w:val="009F131C"/>
    <w:rsid w:val="009F1B07"/>
    <w:rsid w:val="009F1BFD"/>
    <w:rsid w:val="009F789F"/>
    <w:rsid w:val="00A10E02"/>
    <w:rsid w:val="00A254A7"/>
    <w:rsid w:val="00A2682E"/>
    <w:rsid w:val="00A53E7A"/>
    <w:rsid w:val="00A77A6A"/>
    <w:rsid w:val="00AB52D9"/>
    <w:rsid w:val="00AB694E"/>
    <w:rsid w:val="00AC12BA"/>
    <w:rsid w:val="00AD2D4E"/>
    <w:rsid w:val="00AD588F"/>
    <w:rsid w:val="00AD5A01"/>
    <w:rsid w:val="00AE2510"/>
    <w:rsid w:val="00AE5F3A"/>
    <w:rsid w:val="00AF12A5"/>
    <w:rsid w:val="00AF160A"/>
    <w:rsid w:val="00AF525D"/>
    <w:rsid w:val="00B00ECA"/>
    <w:rsid w:val="00B0105C"/>
    <w:rsid w:val="00B25A72"/>
    <w:rsid w:val="00B300CE"/>
    <w:rsid w:val="00B424F6"/>
    <w:rsid w:val="00B46F3F"/>
    <w:rsid w:val="00B537CE"/>
    <w:rsid w:val="00B62444"/>
    <w:rsid w:val="00B62F56"/>
    <w:rsid w:val="00B63950"/>
    <w:rsid w:val="00B649F2"/>
    <w:rsid w:val="00B83471"/>
    <w:rsid w:val="00B867F2"/>
    <w:rsid w:val="00B9151B"/>
    <w:rsid w:val="00B9205A"/>
    <w:rsid w:val="00BA67B7"/>
    <w:rsid w:val="00BA6835"/>
    <w:rsid w:val="00BB2742"/>
    <w:rsid w:val="00BB34D4"/>
    <w:rsid w:val="00BC2277"/>
    <w:rsid w:val="00BE36AF"/>
    <w:rsid w:val="00BE7408"/>
    <w:rsid w:val="00BF4A7B"/>
    <w:rsid w:val="00C00018"/>
    <w:rsid w:val="00C1672F"/>
    <w:rsid w:val="00C178D0"/>
    <w:rsid w:val="00C24C8E"/>
    <w:rsid w:val="00C356FF"/>
    <w:rsid w:val="00C42B46"/>
    <w:rsid w:val="00C563F1"/>
    <w:rsid w:val="00C722E9"/>
    <w:rsid w:val="00C76BBB"/>
    <w:rsid w:val="00C77F65"/>
    <w:rsid w:val="00C8267C"/>
    <w:rsid w:val="00C8635F"/>
    <w:rsid w:val="00C958D2"/>
    <w:rsid w:val="00C96A91"/>
    <w:rsid w:val="00CB272A"/>
    <w:rsid w:val="00CE0DAA"/>
    <w:rsid w:val="00CE139C"/>
    <w:rsid w:val="00D023B5"/>
    <w:rsid w:val="00D12562"/>
    <w:rsid w:val="00D219C6"/>
    <w:rsid w:val="00D24538"/>
    <w:rsid w:val="00D31D48"/>
    <w:rsid w:val="00D33D8C"/>
    <w:rsid w:val="00D36001"/>
    <w:rsid w:val="00D7649D"/>
    <w:rsid w:val="00D863FC"/>
    <w:rsid w:val="00D93B2C"/>
    <w:rsid w:val="00DB76DC"/>
    <w:rsid w:val="00DC0BA6"/>
    <w:rsid w:val="00DC5A51"/>
    <w:rsid w:val="00DD0470"/>
    <w:rsid w:val="00E065D7"/>
    <w:rsid w:val="00E211A0"/>
    <w:rsid w:val="00E26FA7"/>
    <w:rsid w:val="00E33B1E"/>
    <w:rsid w:val="00E35181"/>
    <w:rsid w:val="00E45F25"/>
    <w:rsid w:val="00E47BDE"/>
    <w:rsid w:val="00E50BF5"/>
    <w:rsid w:val="00E536D4"/>
    <w:rsid w:val="00E65C0B"/>
    <w:rsid w:val="00E73FFE"/>
    <w:rsid w:val="00E75290"/>
    <w:rsid w:val="00E770E0"/>
    <w:rsid w:val="00E8035A"/>
    <w:rsid w:val="00E96D99"/>
    <w:rsid w:val="00EA1783"/>
    <w:rsid w:val="00EA629E"/>
    <w:rsid w:val="00EC4233"/>
    <w:rsid w:val="00ED071C"/>
    <w:rsid w:val="00ED1662"/>
    <w:rsid w:val="00ED1ABE"/>
    <w:rsid w:val="00EE358F"/>
    <w:rsid w:val="00EE3B74"/>
    <w:rsid w:val="00EE6353"/>
    <w:rsid w:val="00EF0D32"/>
    <w:rsid w:val="00EF0F49"/>
    <w:rsid w:val="00EF2949"/>
    <w:rsid w:val="00F20F73"/>
    <w:rsid w:val="00F306FC"/>
    <w:rsid w:val="00F3392A"/>
    <w:rsid w:val="00F3705A"/>
    <w:rsid w:val="00F602DE"/>
    <w:rsid w:val="00F92AC0"/>
    <w:rsid w:val="00F92ACC"/>
    <w:rsid w:val="00FA704D"/>
    <w:rsid w:val="00FB0AA3"/>
    <w:rsid w:val="00FB51CD"/>
    <w:rsid w:val="00FC759D"/>
    <w:rsid w:val="00FD2BF3"/>
    <w:rsid w:val="00FF2F50"/>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customStyle="1" w:styleId="HPAbodytextTable">
    <w:name w:val="HPA body text Table"/>
    <w:basedOn w:val="Normal"/>
    <w:qFormat/>
    <w:rsid w:val="0013416E"/>
    <w:pPr>
      <w:autoSpaceDE w:val="0"/>
      <w:autoSpaceDN w:val="0"/>
      <w:adjustRightInd w:val="0"/>
      <w:spacing w:before="60" w:line="240" w:lineRule="auto"/>
      <w:jc w:val="left"/>
    </w:pPr>
    <w:rPr>
      <w:rFonts w:ascii="PraxisEF-Light" w:eastAsia="Times New Roman" w:hAnsi="PraxisEF-Light" w:cs="PraxisEF-Light"/>
      <w:sz w:val="20"/>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2914">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A63C-823E-48C9-8DEB-D8559017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TotalTime>
  <Pages>6</Pages>
  <Words>525</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3694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2013-11-11T02:03:00Z</cp:lastPrinted>
  <dcterms:created xsi:type="dcterms:W3CDTF">2014-03-27T17:11:00Z</dcterms:created>
  <dcterms:modified xsi:type="dcterms:W3CDTF">2014-03-27T17:11:00Z</dcterms:modified>
</cp:coreProperties>
</file>