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983F5B" w:rsidRDefault="00B83471" w:rsidP="00D219C6">
      <w:pPr>
        <w:pStyle w:val="Heading1"/>
        <w:rPr>
          <w:lang w:val="en-GB"/>
        </w:rPr>
      </w:pPr>
      <w:r w:rsidRPr="00983F5B">
        <w:rPr>
          <w:lang w:val="en-GB"/>
        </w:rPr>
        <w:t>Aim</w:t>
      </w:r>
    </w:p>
    <w:p w:rsidR="00417A00" w:rsidRPr="00754593" w:rsidRDefault="00417A00" w:rsidP="00417A00">
      <w:pPr>
        <w:rPr>
          <w:lang w:val="en-GB"/>
        </w:rPr>
      </w:pPr>
      <w:proofErr w:type="gramStart"/>
      <w:r w:rsidRPr="00754593">
        <w:rPr>
          <w:lang w:val="en-GB"/>
        </w:rPr>
        <w:t xml:space="preserve">To measure the susceptibilities of pathogenic bacteria to appropriate antimicrobials by a </w:t>
      </w:r>
      <w:r>
        <w:rPr>
          <w:lang w:val="en-GB"/>
        </w:rPr>
        <w:t>standardised gradient</w:t>
      </w:r>
      <w:r w:rsidRPr="00754593">
        <w:rPr>
          <w:lang w:val="en-GB"/>
        </w:rPr>
        <w:t xml:space="preserve"> diffusion method.</w:t>
      </w:r>
      <w:proofErr w:type="gramEnd"/>
    </w:p>
    <w:p w:rsidR="00B83471" w:rsidRDefault="00B83471" w:rsidP="00D219C6">
      <w:pPr>
        <w:pStyle w:val="Heading1"/>
        <w:rPr>
          <w:lang w:val="en-GB"/>
        </w:rPr>
      </w:pPr>
      <w:r w:rsidRPr="00983F5B">
        <w:rPr>
          <w:lang w:val="en-GB"/>
        </w:rPr>
        <w:t>Principle</w:t>
      </w:r>
    </w:p>
    <w:p w:rsidR="002D5C27" w:rsidRDefault="002D5C27" w:rsidP="002D5C27">
      <w:pPr>
        <w:rPr>
          <w:lang w:val="en-GB"/>
        </w:rPr>
      </w:pPr>
      <w:r>
        <w:rPr>
          <w:lang w:val="en-GB"/>
        </w:rPr>
        <w:t xml:space="preserve">It is not possible to determine antimicrobial susceptibilities for all organism-drug combinations by disk diffusion testing (SOP MIC-001). Formal estimation of the minimum inhibitory </w:t>
      </w:r>
      <w:r w:rsidR="00087C08">
        <w:rPr>
          <w:lang w:val="en-GB"/>
        </w:rPr>
        <w:t>concentration</w:t>
      </w:r>
      <w:r>
        <w:rPr>
          <w:lang w:val="en-GB"/>
        </w:rPr>
        <w:t xml:space="preserve"> (MIC) is occasionally required. </w:t>
      </w:r>
      <w:r w:rsidR="00087C08">
        <w:rPr>
          <w:lang w:val="en-GB"/>
        </w:rPr>
        <w:t xml:space="preserve">The </w:t>
      </w:r>
      <w:r w:rsidR="009B02EE">
        <w:rPr>
          <w:lang w:val="en-GB"/>
        </w:rPr>
        <w:t>MIC</w:t>
      </w:r>
      <w:r w:rsidR="00087C08">
        <w:rPr>
          <w:lang w:val="en-GB"/>
        </w:rPr>
        <w:t xml:space="preserve"> of a drug is the lowest concentration (usually expressed in µg/ml) required to inhibit the growth of an isolate. </w:t>
      </w:r>
      <w:r>
        <w:rPr>
          <w:lang w:val="en-GB"/>
        </w:rPr>
        <w:t>Notable requirements for MIC testing include:</w:t>
      </w:r>
    </w:p>
    <w:p w:rsidR="002D5C27" w:rsidRDefault="002D5C27" w:rsidP="002D5C27">
      <w:pPr>
        <w:pStyle w:val="ListParagraph"/>
        <w:numPr>
          <w:ilvl w:val="0"/>
          <w:numId w:val="8"/>
        </w:numPr>
        <w:rPr>
          <w:lang w:val="en-GB"/>
        </w:rPr>
      </w:pPr>
      <w:r>
        <w:rPr>
          <w:lang w:val="en-GB"/>
        </w:rPr>
        <w:t xml:space="preserve">Beta-lactam testing of </w:t>
      </w:r>
      <w:r>
        <w:rPr>
          <w:i/>
          <w:lang w:val="en-GB"/>
        </w:rPr>
        <w:t>Streptococcus pneumoniae</w:t>
      </w:r>
      <w:r>
        <w:rPr>
          <w:lang w:val="en-GB"/>
        </w:rPr>
        <w:t xml:space="preserve">, where </w:t>
      </w:r>
      <w:r w:rsidR="00BC2E80">
        <w:rPr>
          <w:lang w:val="en-GB"/>
        </w:rPr>
        <w:t xml:space="preserve">disk testing is unreliable and </w:t>
      </w:r>
      <w:r>
        <w:rPr>
          <w:lang w:val="en-GB"/>
        </w:rPr>
        <w:t>breakpoints for penicillin and ceftriaxone differ by site of infection (meningitis vs. non-meningitis</w:t>
      </w:r>
      <w:r w:rsidR="00087C08">
        <w:rPr>
          <w:lang w:val="en-GB"/>
        </w:rPr>
        <w:t>)</w:t>
      </w:r>
    </w:p>
    <w:p w:rsidR="00BC2E80" w:rsidRDefault="00BC2E80" w:rsidP="00BC2E80">
      <w:pPr>
        <w:pStyle w:val="ListParagraph"/>
        <w:numPr>
          <w:ilvl w:val="0"/>
          <w:numId w:val="8"/>
        </w:numPr>
        <w:rPr>
          <w:lang w:val="en-GB"/>
        </w:rPr>
      </w:pPr>
      <w:r>
        <w:rPr>
          <w:lang w:val="en-GB"/>
        </w:rPr>
        <w:t xml:space="preserve">Azithromycin testing of </w:t>
      </w:r>
      <w:r>
        <w:rPr>
          <w:i/>
          <w:lang w:val="en-GB"/>
        </w:rPr>
        <w:t xml:space="preserve">Salmonella </w:t>
      </w:r>
      <w:r>
        <w:rPr>
          <w:lang w:val="en-GB"/>
        </w:rPr>
        <w:t>Typhi, where</w:t>
      </w:r>
      <w:r w:rsidR="00E762B5">
        <w:rPr>
          <w:lang w:val="en-GB"/>
        </w:rPr>
        <w:t xml:space="preserve"> neither disk zone diameter</w:t>
      </w:r>
      <w:r>
        <w:rPr>
          <w:lang w:val="en-GB"/>
        </w:rPr>
        <w:t xml:space="preserve"> nor formal MIC breakpoints have been defined</w:t>
      </w:r>
    </w:p>
    <w:p w:rsidR="00BC2E80" w:rsidRPr="00BC2E80" w:rsidRDefault="00BC2E80" w:rsidP="00BC2E80">
      <w:pPr>
        <w:pStyle w:val="ListParagraph"/>
        <w:numPr>
          <w:ilvl w:val="0"/>
          <w:numId w:val="8"/>
        </w:numPr>
        <w:rPr>
          <w:lang w:val="en-GB"/>
        </w:rPr>
      </w:pPr>
      <w:r>
        <w:rPr>
          <w:lang w:val="en-GB"/>
        </w:rPr>
        <w:t xml:space="preserve">Testing of fastidious or uncommonly isolated organisms (e.g. non-fermenting Gram negatives), were </w:t>
      </w:r>
      <w:r w:rsidR="00E762B5">
        <w:rPr>
          <w:lang w:val="en-GB"/>
        </w:rPr>
        <w:t xml:space="preserve">disk </w:t>
      </w:r>
      <w:r>
        <w:rPr>
          <w:lang w:val="en-GB"/>
        </w:rPr>
        <w:t>zone diameter breakpoints are not yet defined</w:t>
      </w:r>
    </w:p>
    <w:p w:rsidR="0065375F" w:rsidRDefault="0065375F" w:rsidP="002D5C27">
      <w:pPr>
        <w:pStyle w:val="ListParagraph"/>
        <w:numPr>
          <w:ilvl w:val="0"/>
          <w:numId w:val="8"/>
        </w:numPr>
        <w:rPr>
          <w:lang w:val="en-GB"/>
        </w:rPr>
      </w:pPr>
      <w:r>
        <w:rPr>
          <w:lang w:val="en-GB"/>
        </w:rPr>
        <w:t xml:space="preserve">Vancomycin testing of </w:t>
      </w:r>
      <w:r>
        <w:rPr>
          <w:i/>
          <w:lang w:val="en-GB"/>
        </w:rPr>
        <w:t xml:space="preserve">Staphylococcus </w:t>
      </w:r>
      <w:r>
        <w:rPr>
          <w:lang w:val="en-GB"/>
        </w:rPr>
        <w:t>spp., where disk testing is unreliable</w:t>
      </w:r>
    </w:p>
    <w:p w:rsidR="00087C08" w:rsidRDefault="00087C08" w:rsidP="002D5C27">
      <w:pPr>
        <w:pStyle w:val="ListParagraph"/>
        <w:numPr>
          <w:ilvl w:val="0"/>
          <w:numId w:val="8"/>
        </w:numPr>
        <w:rPr>
          <w:lang w:val="en-GB"/>
        </w:rPr>
      </w:pPr>
      <w:r>
        <w:rPr>
          <w:lang w:val="en-GB"/>
        </w:rPr>
        <w:t xml:space="preserve">Co-trimoxazole testing of </w:t>
      </w:r>
      <w:r>
        <w:rPr>
          <w:i/>
          <w:lang w:val="en-GB"/>
        </w:rPr>
        <w:t>Burkholderia pseudomallei</w:t>
      </w:r>
      <w:r w:rsidR="00E762B5">
        <w:rPr>
          <w:i/>
          <w:lang w:val="en-GB"/>
        </w:rPr>
        <w:t xml:space="preserve">, </w:t>
      </w:r>
      <w:r w:rsidR="00E762B5">
        <w:rPr>
          <w:lang w:val="en-GB"/>
        </w:rPr>
        <w:t>where disk testing is unreliable</w:t>
      </w:r>
    </w:p>
    <w:p w:rsidR="00BF4A7B" w:rsidRPr="00983F5B" w:rsidRDefault="00087C08" w:rsidP="00BF4A7B">
      <w:pPr>
        <w:rPr>
          <w:lang w:val="en-GB"/>
        </w:rPr>
        <w:sectPr w:rsidR="00BF4A7B" w:rsidRPr="00983F5B" w:rsidSect="006C64AF">
          <w:headerReference w:type="default" r:id="rId8"/>
          <w:footerReference w:type="default" r:id="rId9"/>
          <w:pgSz w:w="12240" w:h="15840"/>
          <w:pgMar w:top="1440" w:right="1800" w:bottom="1440" w:left="1800" w:header="708" w:footer="708" w:gutter="0"/>
          <w:cols w:space="708"/>
          <w:docGrid w:linePitch="326"/>
        </w:sectPr>
      </w:pPr>
      <w:r>
        <w:rPr>
          <w:lang w:val="en-GB"/>
        </w:rPr>
        <w:t>MIC testing by broth dilution or agar incorporation is time consuming and technically demanding.</w:t>
      </w:r>
      <w:r w:rsidR="009B02EE">
        <w:rPr>
          <w:lang w:val="en-GB"/>
        </w:rPr>
        <w:t xml:space="preserve"> Etest strips provide a simpler method for MIC determination. Etest</w:t>
      </w:r>
      <w:r w:rsidR="00896CB1">
        <w:rPr>
          <w:lang w:val="en-GB"/>
        </w:rPr>
        <w:t>s</w:t>
      </w:r>
      <w:r w:rsidR="009B02EE">
        <w:rPr>
          <w:lang w:val="en-GB"/>
        </w:rPr>
        <w:t xml:space="preserve"> consist of a plastic strip impregnated with a gradient of antimicrobial (providing an MIC range of 15 two-fold dilutions). Once applied to an </w:t>
      </w:r>
      <w:r w:rsidR="00896CB1">
        <w:rPr>
          <w:lang w:val="en-GB"/>
        </w:rPr>
        <w:t>isolate-</w:t>
      </w:r>
      <w:r w:rsidR="009B02EE">
        <w:rPr>
          <w:lang w:val="en-GB"/>
        </w:rPr>
        <w:t>inoculated agar plate, the antimicrobial diffuses out and results in a stable concentration gradient in the medium.</w:t>
      </w:r>
      <w:r w:rsidR="00896CB1">
        <w:rPr>
          <w:lang w:val="en-GB"/>
        </w:rPr>
        <w:t xml:space="preserve"> After incubation, the point of intersection between organism growth and the Etest device enables the MIC value to be determined from the range printed on the plastic strip.</w:t>
      </w:r>
    </w:p>
    <w:p w:rsidR="00BF4A7B" w:rsidRPr="00983F5B" w:rsidRDefault="00BF4A7B" w:rsidP="00BF4A7B">
      <w:pPr>
        <w:pStyle w:val="Heading1"/>
        <w:rPr>
          <w:lang w:val="en-GB"/>
        </w:rPr>
      </w:pPr>
      <w:r w:rsidRPr="00983F5B">
        <w:rPr>
          <w:lang w:val="en-GB"/>
        </w:rPr>
        <w:lastRenderedPageBreak/>
        <w:t>Method</w:t>
      </w:r>
    </w:p>
    <w:p w:rsidR="00BF4A7B" w:rsidRPr="00983F5B" w:rsidRDefault="00B87D7E" w:rsidP="00BF4A7B">
      <w:pPr>
        <w:pStyle w:val="Heading2"/>
        <w:rPr>
          <w:lang w:val="en-GB"/>
        </w:rPr>
      </w:pPr>
      <w:r>
        <w:rPr>
          <w:lang w:val="en-GB"/>
        </w:rPr>
        <w:t>Reagents and equipment</w:t>
      </w:r>
    </w:p>
    <w:p w:rsidR="00B87D7E" w:rsidRPr="00754593" w:rsidRDefault="00B87D7E" w:rsidP="00B87D7E">
      <w:pPr>
        <w:pStyle w:val="ListParagraph"/>
        <w:numPr>
          <w:ilvl w:val="0"/>
          <w:numId w:val="9"/>
        </w:numPr>
        <w:rPr>
          <w:lang w:val="en-GB"/>
        </w:rPr>
      </w:pPr>
      <w:r w:rsidRPr="00754593">
        <w:rPr>
          <w:lang w:val="en-GB"/>
        </w:rPr>
        <w:t>Agar plates (3</w:t>
      </w:r>
      <w:r>
        <w:rPr>
          <w:lang w:val="en-GB"/>
        </w:rPr>
        <w:t>.5</w:t>
      </w:r>
      <w:r w:rsidRPr="00754593">
        <w:rPr>
          <w:lang w:val="en-GB"/>
        </w:rPr>
        <w:t>-4</w:t>
      </w:r>
      <w:r>
        <w:rPr>
          <w:lang w:val="en-GB"/>
        </w:rPr>
        <w:t>.5</w:t>
      </w:r>
      <w:r w:rsidRPr="00754593">
        <w:rPr>
          <w:lang w:val="en-GB"/>
        </w:rPr>
        <w:t xml:space="preserve"> mm deep)</w:t>
      </w:r>
    </w:p>
    <w:p w:rsidR="00B87D7E" w:rsidRPr="00754593" w:rsidRDefault="001D4214" w:rsidP="00B87D7E">
      <w:pPr>
        <w:pStyle w:val="ListParagraph"/>
        <w:numPr>
          <w:ilvl w:val="0"/>
          <w:numId w:val="9"/>
        </w:numPr>
        <w:rPr>
          <w:lang w:val="en-GB"/>
        </w:rPr>
      </w:pPr>
      <w:r>
        <w:rPr>
          <w:lang w:val="en-GB"/>
        </w:rPr>
        <w:t>Etest strips</w:t>
      </w:r>
    </w:p>
    <w:p w:rsidR="00B87D7E" w:rsidRPr="00754593" w:rsidRDefault="00B87D7E" w:rsidP="00B87D7E">
      <w:pPr>
        <w:pStyle w:val="ListParagraph"/>
        <w:numPr>
          <w:ilvl w:val="0"/>
          <w:numId w:val="9"/>
        </w:numPr>
        <w:rPr>
          <w:lang w:val="en-GB"/>
        </w:rPr>
      </w:pPr>
      <w:r w:rsidRPr="00754593">
        <w:rPr>
          <w:lang w:val="en-GB"/>
        </w:rPr>
        <w:t xml:space="preserve">Sterile saline </w:t>
      </w:r>
      <w:r>
        <w:rPr>
          <w:lang w:val="en-GB"/>
        </w:rPr>
        <w:t xml:space="preserve">or appropriate broth </w:t>
      </w:r>
      <w:r w:rsidRPr="00754593">
        <w:rPr>
          <w:lang w:val="en-GB"/>
        </w:rPr>
        <w:t>(2-5ml)</w:t>
      </w:r>
    </w:p>
    <w:p w:rsidR="00B87D7E" w:rsidRPr="00754593" w:rsidRDefault="00B87D7E" w:rsidP="00B87D7E">
      <w:pPr>
        <w:pStyle w:val="ListParagraph"/>
        <w:numPr>
          <w:ilvl w:val="0"/>
          <w:numId w:val="9"/>
        </w:numPr>
        <w:rPr>
          <w:lang w:val="en-GB"/>
        </w:rPr>
      </w:pPr>
      <w:r w:rsidRPr="00754593">
        <w:rPr>
          <w:lang w:val="en-GB"/>
        </w:rPr>
        <w:t>Sterile cotton tipped swabs</w:t>
      </w:r>
    </w:p>
    <w:p w:rsidR="00B87D7E" w:rsidRPr="00754593" w:rsidRDefault="00B87D7E" w:rsidP="00B87D7E">
      <w:pPr>
        <w:pStyle w:val="ListParagraph"/>
        <w:numPr>
          <w:ilvl w:val="0"/>
          <w:numId w:val="9"/>
        </w:numPr>
        <w:rPr>
          <w:lang w:val="en-GB"/>
        </w:rPr>
      </w:pPr>
      <w:r w:rsidRPr="00754593">
        <w:rPr>
          <w:lang w:val="en-GB"/>
        </w:rPr>
        <w:t>Forceps</w:t>
      </w:r>
    </w:p>
    <w:p w:rsidR="00B87D7E" w:rsidRPr="00B87D7E" w:rsidRDefault="00B87D7E" w:rsidP="00B87D7E">
      <w:pPr>
        <w:pStyle w:val="ListParagraph"/>
        <w:numPr>
          <w:ilvl w:val="0"/>
          <w:numId w:val="9"/>
        </w:numPr>
        <w:rPr>
          <w:lang w:val="en-GB"/>
        </w:rPr>
      </w:pPr>
      <w:r w:rsidRPr="00754593">
        <w:rPr>
          <w:lang w:val="en-GB"/>
        </w:rPr>
        <w:t>Incubator with correct atmosphere at appropriate temperature</w:t>
      </w:r>
    </w:p>
    <w:p w:rsidR="00BF4A7B" w:rsidRPr="00983F5B" w:rsidRDefault="00B87D7E" w:rsidP="0065375F">
      <w:pPr>
        <w:pStyle w:val="Heading2"/>
        <w:rPr>
          <w:lang w:val="en-GB"/>
        </w:rPr>
      </w:pPr>
      <w:r>
        <w:rPr>
          <w:lang w:val="en-GB"/>
        </w:rPr>
        <w:t>Inoculation</w:t>
      </w:r>
    </w:p>
    <w:p w:rsidR="0065375F" w:rsidRPr="00754593" w:rsidRDefault="0065375F" w:rsidP="0065375F">
      <w:pPr>
        <w:pStyle w:val="ListParagraph"/>
        <w:numPr>
          <w:ilvl w:val="0"/>
          <w:numId w:val="10"/>
        </w:numPr>
        <w:rPr>
          <w:lang w:val="en-GB"/>
        </w:rPr>
      </w:pPr>
      <w:r w:rsidRPr="00754593">
        <w:rPr>
          <w:lang w:val="en-GB"/>
        </w:rPr>
        <w:t>Subculture the organism to be tested onto a non-selective agar plate and incubate for 18-24 hours to obtain a pure growth.</w:t>
      </w:r>
    </w:p>
    <w:p w:rsidR="0065375F" w:rsidRPr="00754593" w:rsidRDefault="0065375F" w:rsidP="0065375F">
      <w:pPr>
        <w:pStyle w:val="ListParagraph"/>
        <w:numPr>
          <w:ilvl w:val="0"/>
          <w:numId w:val="10"/>
        </w:numPr>
        <w:rPr>
          <w:lang w:val="en-GB"/>
        </w:rPr>
      </w:pPr>
      <w:r w:rsidRPr="00754593">
        <w:rPr>
          <w:lang w:val="en-GB"/>
        </w:rPr>
        <w:t xml:space="preserve">Remove the </w:t>
      </w:r>
      <w:r>
        <w:rPr>
          <w:lang w:val="en-GB"/>
        </w:rPr>
        <w:t>Etest package / storage tube</w:t>
      </w:r>
      <w:r w:rsidRPr="00754593">
        <w:rPr>
          <w:lang w:val="en-GB"/>
        </w:rPr>
        <w:t xml:space="preserve"> from the </w:t>
      </w:r>
      <w:r>
        <w:rPr>
          <w:lang w:val="en-GB"/>
        </w:rPr>
        <w:t>-20°C freezer</w:t>
      </w:r>
      <w:r w:rsidRPr="00754593">
        <w:rPr>
          <w:lang w:val="en-GB"/>
        </w:rPr>
        <w:t xml:space="preserve"> </w:t>
      </w:r>
      <w:r>
        <w:rPr>
          <w:lang w:val="en-GB"/>
        </w:rPr>
        <w:t>and allow the strips to</w:t>
      </w:r>
      <w:r w:rsidRPr="00754593">
        <w:rPr>
          <w:lang w:val="en-GB"/>
        </w:rPr>
        <w:t xml:space="preserve"> reach room temperature </w:t>
      </w:r>
      <w:r>
        <w:rPr>
          <w:lang w:val="en-GB"/>
        </w:rPr>
        <w:t>for approximately 30 minutes.</w:t>
      </w:r>
      <w:r w:rsidRPr="00754593">
        <w:rPr>
          <w:lang w:val="en-GB"/>
        </w:rPr>
        <w:t xml:space="preserve"> Replace the </w:t>
      </w:r>
      <w:r>
        <w:rPr>
          <w:lang w:val="en-GB"/>
        </w:rPr>
        <w:t>Etests</w:t>
      </w:r>
      <w:r w:rsidRPr="00754593">
        <w:rPr>
          <w:lang w:val="en-GB"/>
        </w:rPr>
        <w:t xml:space="preserve"> </w:t>
      </w:r>
      <w:r>
        <w:rPr>
          <w:lang w:val="en-GB"/>
        </w:rPr>
        <w:t>and container in the freeze</w:t>
      </w:r>
      <w:r w:rsidRPr="00754593">
        <w:rPr>
          <w:lang w:val="en-GB"/>
        </w:rPr>
        <w:t xml:space="preserve">r as soon as you have finished using them. Do not use </w:t>
      </w:r>
      <w:r>
        <w:rPr>
          <w:lang w:val="en-GB"/>
        </w:rPr>
        <w:t>Etests</w:t>
      </w:r>
      <w:r w:rsidRPr="00754593">
        <w:rPr>
          <w:lang w:val="en-GB"/>
        </w:rPr>
        <w:t xml:space="preserve"> past their expiry date.</w:t>
      </w:r>
    </w:p>
    <w:p w:rsidR="0065375F" w:rsidRPr="00754593" w:rsidRDefault="0065375F" w:rsidP="0065375F">
      <w:pPr>
        <w:pStyle w:val="ListParagraph"/>
        <w:numPr>
          <w:ilvl w:val="0"/>
          <w:numId w:val="10"/>
        </w:numPr>
        <w:rPr>
          <w:lang w:val="en-GB"/>
        </w:rPr>
      </w:pPr>
      <w:r w:rsidRPr="00754593">
        <w:rPr>
          <w:lang w:val="en-GB"/>
        </w:rPr>
        <w:t>Using a straight wire or loop, touch at least six individual</w:t>
      </w:r>
      <w:r w:rsidR="00817B0F">
        <w:rPr>
          <w:lang w:val="en-GB"/>
        </w:rPr>
        <w:t xml:space="preserve"> colonies from the pure culture.</w:t>
      </w:r>
    </w:p>
    <w:p w:rsidR="0065375F" w:rsidRPr="00754593" w:rsidRDefault="0065375F" w:rsidP="0065375F">
      <w:pPr>
        <w:pStyle w:val="ListParagraph"/>
        <w:numPr>
          <w:ilvl w:val="0"/>
          <w:numId w:val="10"/>
        </w:numPr>
        <w:rPr>
          <w:lang w:val="en-GB"/>
        </w:rPr>
      </w:pPr>
      <w:r w:rsidRPr="00754593">
        <w:rPr>
          <w:lang w:val="en-GB"/>
        </w:rPr>
        <w:t xml:space="preserve">Emulsify the colonies in sterile saline </w:t>
      </w:r>
      <w:r>
        <w:rPr>
          <w:lang w:val="en-GB"/>
        </w:rPr>
        <w:t xml:space="preserve">or broth </w:t>
      </w:r>
      <w:r w:rsidRPr="00754593">
        <w:rPr>
          <w:lang w:val="en-GB"/>
        </w:rPr>
        <w:t>to give an equivalent turb</w:t>
      </w:r>
      <w:r>
        <w:rPr>
          <w:lang w:val="en-GB"/>
        </w:rPr>
        <w:t>idity to the appropriate McFarland Standard (Table 1).</w:t>
      </w:r>
    </w:p>
    <w:p w:rsidR="0065375F" w:rsidRPr="00754593" w:rsidRDefault="0065375F" w:rsidP="0065375F">
      <w:pPr>
        <w:pStyle w:val="ListParagraph"/>
        <w:numPr>
          <w:ilvl w:val="0"/>
          <w:numId w:val="10"/>
        </w:numPr>
        <w:rPr>
          <w:lang w:val="en-GB"/>
        </w:rPr>
      </w:pPr>
      <w:r w:rsidRPr="00754593">
        <w:rPr>
          <w:lang w:val="en-GB"/>
        </w:rPr>
        <w:t>Within 15 minutes after adjusting the turbidity of the inoculum, immerse a sterile cotton swab into the emulsion. Press the swab against the inner side of the tube, above the fluid level, to remove excess fluid.</w:t>
      </w:r>
    </w:p>
    <w:p w:rsidR="0065375F" w:rsidRPr="00754593" w:rsidRDefault="0065375F" w:rsidP="0065375F">
      <w:pPr>
        <w:pStyle w:val="ListParagraph"/>
        <w:numPr>
          <w:ilvl w:val="0"/>
          <w:numId w:val="10"/>
        </w:numPr>
        <w:rPr>
          <w:lang w:val="en-GB"/>
        </w:rPr>
      </w:pPr>
      <w:r w:rsidRPr="00754593">
        <w:rPr>
          <w:lang w:val="en-GB"/>
        </w:rPr>
        <w:t>Use the appropriate plate and incubation conditions according to Table 1.</w:t>
      </w:r>
    </w:p>
    <w:p w:rsidR="00163FBA" w:rsidRPr="00754593" w:rsidRDefault="00163FBA" w:rsidP="00163FBA">
      <w:pPr>
        <w:pStyle w:val="ListParagraph"/>
        <w:numPr>
          <w:ilvl w:val="0"/>
          <w:numId w:val="10"/>
        </w:numPr>
        <w:rPr>
          <w:lang w:val="en-GB"/>
        </w:rPr>
      </w:pPr>
      <w:r w:rsidRPr="00754593">
        <w:rPr>
          <w:lang w:val="en-GB"/>
        </w:rPr>
        <w:t>Inoculate the entire agar surface of the plate, either using a rotary plater or by spreading the plate 3 times, rotating the plate 60° between the streaks and then swabbing the rim of the agar surface.</w:t>
      </w:r>
    </w:p>
    <w:p w:rsidR="00163FBA" w:rsidRPr="00754593" w:rsidRDefault="00163FBA" w:rsidP="00163FBA">
      <w:pPr>
        <w:pStyle w:val="ListParagraph"/>
        <w:numPr>
          <w:ilvl w:val="0"/>
          <w:numId w:val="12"/>
        </w:numPr>
        <w:rPr>
          <w:lang w:val="en-GB"/>
        </w:rPr>
      </w:pPr>
      <w:r w:rsidRPr="00754593">
        <w:rPr>
          <w:lang w:val="en-GB"/>
        </w:rPr>
        <w:t>The plate to be inoculated should be moist, but no droplets of moisture should be apparent on the surface of the medium or on the Petri dish covers. If so, the plate and its lid should be left between 10-30 minutes in the Biosafety cabinet to dry.</w:t>
      </w:r>
    </w:p>
    <w:p w:rsidR="00163FBA" w:rsidRPr="00754593" w:rsidRDefault="00163FBA" w:rsidP="00163FBA">
      <w:pPr>
        <w:pStyle w:val="ListParagraph"/>
        <w:numPr>
          <w:ilvl w:val="0"/>
          <w:numId w:val="12"/>
        </w:numPr>
        <w:rPr>
          <w:lang w:val="en-GB"/>
        </w:rPr>
      </w:pPr>
      <w:r w:rsidRPr="00754593">
        <w:rPr>
          <w:lang w:val="en-GB"/>
        </w:rPr>
        <w:t>Care should be taken not to mark the agar by too much pressure when streaking and that there is evenness of spread, particularly at the edge.</w:t>
      </w:r>
    </w:p>
    <w:p w:rsidR="00163FBA" w:rsidRPr="00754593" w:rsidRDefault="00163FBA" w:rsidP="00163FBA">
      <w:pPr>
        <w:pStyle w:val="ListParagraph"/>
        <w:numPr>
          <w:ilvl w:val="0"/>
          <w:numId w:val="12"/>
        </w:numPr>
        <w:rPr>
          <w:lang w:val="en-GB"/>
        </w:rPr>
      </w:pPr>
      <w:r w:rsidRPr="00754593">
        <w:rPr>
          <w:lang w:val="en-GB"/>
        </w:rPr>
        <w:t>Th</w:t>
      </w:r>
      <w:r>
        <w:rPr>
          <w:lang w:val="en-GB"/>
        </w:rPr>
        <w:t xml:space="preserve">e plate </w:t>
      </w:r>
      <w:r w:rsidR="00B92BF7">
        <w:rPr>
          <w:lang w:val="en-GB"/>
        </w:rPr>
        <w:t>should</w:t>
      </w:r>
      <w:r>
        <w:rPr>
          <w:lang w:val="en-GB"/>
        </w:rPr>
        <w:t xml:space="preserve"> be left to dry for 10</w:t>
      </w:r>
      <w:r w:rsidRPr="00754593">
        <w:rPr>
          <w:lang w:val="en-GB"/>
        </w:rPr>
        <w:t>-</w:t>
      </w:r>
      <w:r>
        <w:rPr>
          <w:lang w:val="en-GB"/>
        </w:rPr>
        <w:t>1</w:t>
      </w:r>
      <w:r w:rsidRPr="00754593">
        <w:rPr>
          <w:lang w:val="en-GB"/>
        </w:rPr>
        <w:t>5 minutes after streaking to allow for any excess surface moisture to be absorbed.</w:t>
      </w:r>
    </w:p>
    <w:p w:rsidR="0065375F" w:rsidRPr="00754593" w:rsidRDefault="0065375F" w:rsidP="0065375F">
      <w:pPr>
        <w:spacing w:before="120" w:line="240" w:lineRule="exact"/>
        <w:rPr>
          <w:b/>
          <w:szCs w:val="24"/>
          <w:lang w:val="en-GB"/>
        </w:rPr>
      </w:pPr>
      <w:proofErr w:type="gramStart"/>
      <w:r w:rsidRPr="00754593">
        <w:rPr>
          <w:b/>
          <w:szCs w:val="24"/>
          <w:lang w:val="en-GB"/>
        </w:rPr>
        <w:t>Table 1.</w:t>
      </w:r>
      <w:proofErr w:type="gramEnd"/>
      <w:r w:rsidRPr="00754593">
        <w:rPr>
          <w:b/>
          <w:szCs w:val="24"/>
          <w:lang w:val="en-GB"/>
        </w:rPr>
        <w:t xml:space="preserve"> </w:t>
      </w:r>
      <w:r w:rsidRPr="006E1344">
        <w:rPr>
          <w:szCs w:val="24"/>
          <w:lang w:val="en-GB"/>
        </w:rPr>
        <w:t xml:space="preserve">Incubation media, </w:t>
      </w:r>
      <w:r w:rsidR="0038078F" w:rsidRPr="006E1344">
        <w:rPr>
          <w:szCs w:val="24"/>
          <w:lang w:val="en-GB"/>
        </w:rPr>
        <w:t xml:space="preserve">inoculum details, </w:t>
      </w:r>
      <w:r w:rsidRPr="006E1344">
        <w:rPr>
          <w:szCs w:val="24"/>
          <w:lang w:val="en-GB"/>
        </w:rPr>
        <w:t>atmospheres and times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079"/>
        <w:gridCol w:w="2975"/>
      </w:tblGrid>
      <w:tr w:rsidR="0065375F" w:rsidRPr="00754593" w:rsidTr="00C04EC4">
        <w:trPr>
          <w:trHeight w:val="449"/>
        </w:trPr>
        <w:tc>
          <w:tcPr>
            <w:tcW w:w="2802" w:type="dxa"/>
            <w:shd w:val="clear" w:color="auto" w:fill="BFBFBF" w:themeFill="background1" w:themeFillShade="BF"/>
          </w:tcPr>
          <w:p w:rsidR="0065375F" w:rsidRPr="00754593" w:rsidRDefault="0065375F" w:rsidP="007270B1">
            <w:pPr>
              <w:rPr>
                <w:b/>
                <w:szCs w:val="24"/>
                <w:lang w:val="en-GB"/>
              </w:rPr>
            </w:pPr>
            <w:bookmarkStart w:id="0" w:name="_Toc31691608"/>
            <w:r w:rsidRPr="00754593">
              <w:rPr>
                <w:b/>
                <w:szCs w:val="24"/>
                <w:lang w:val="en-GB"/>
              </w:rPr>
              <w:t>Organism</w:t>
            </w:r>
            <w:bookmarkEnd w:id="0"/>
          </w:p>
        </w:tc>
        <w:tc>
          <w:tcPr>
            <w:tcW w:w="3079" w:type="dxa"/>
            <w:shd w:val="clear" w:color="auto" w:fill="BFBFBF" w:themeFill="background1" w:themeFillShade="BF"/>
          </w:tcPr>
          <w:p w:rsidR="0065375F" w:rsidRPr="00754593" w:rsidRDefault="00163FBA" w:rsidP="007270B1">
            <w:pPr>
              <w:rPr>
                <w:b/>
                <w:bCs/>
                <w:szCs w:val="24"/>
                <w:lang w:val="en-GB"/>
              </w:rPr>
            </w:pPr>
            <w:r>
              <w:rPr>
                <w:b/>
                <w:bCs/>
                <w:szCs w:val="24"/>
                <w:lang w:val="en-GB"/>
              </w:rPr>
              <w:t xml:space="preserve">Inoculum / </w:t>
            </w:r>
            <w:r w:rsidR="0065375F" w:rsidRPr="00754593">
              <w:rPr>
                <w:b/>
                <w:bCs/>
                <w:szCs w:val="24"/>
                <w:lang w:val="en-GB"/>
              </w:rPr>
              <w:t>Medi</w:t>
            </w:r>
            <w:r w:rsidR="0072305E">
              <w:rPr>
                <w:b/>
                <w:bCs/>
                <w:szCs w:val="24"/>
                <w:lang w:val="en-GB"/>
              </w:rPr>
              <w:t>um</w:t>
            </w:r>
          </w:p>
        </w:tc>
        <w:tc>
          <w:tcPr>
            <w:tcW w:w="2975" w:type="dxa"/>
            <w:shd w:val="clear" w:color="auto" w:fill="BFBFBF" w:themeFill="background1" w:themeFillShade="BF"/>
          </w:tcPr>
          <w:p w:rsidR="0065375F" w:rsidRPr="00754593" w:rsidRDefault="0065375F" w:rsidP="007270B1">
            <w:pPr>
              <w:rPr>
                <w:b/>
                <w:bCs/>
                <w:szCs w:val="24"/>
                <w:lang w:val="en-GB"/>
              </w:rPr>
            </w:pPr>
            <w:r w:rsidRPr="00754593">
              <w:rPr>
                <w:b/>
                <w:bCs/>
                <w:szCs w:val="24"/>
                <w:lang w:val="en-GB"/>
              </w:rPr>
              <w:t>Incubation conditions</w:t>
            </w:r>
          </w:p>
        </w:tc>
      </w:tr>
      <w:tr w:rsidR="0065375F" w:rsidRPr="00754593" w:rsidTr="0072305E">
        <w:trPr>
          <w:trHeight w:val="385"/>
        </w:trPr>
        <w:tc>
          <w:tcPr>
            <w:tcW w:w="2802" w:type="dxa"/>
          </w:tcPr>
          <w:p w:rsidR="00E72BC3" w:rsidRPr="00D91572" w:rsidRDefault="00A46902" w:rsidP="00A46902">
            <w:pPr>
              <w:jc w:val="left"/>
              <w:rPr>
                <w:szCs w:val="24"/>
                <w:lang w:val="fr-FR"/>
              </w:rPr>
            </w:pPr>
            <w:proofErr w:type="spellStart"/>
            <w:r w:rsidRPr="00D91572">
              <w:rPr>
                <w:szCs w:val="24"/>
                <w:lang w:val="fr-FR"/>
              </w:rPr>
              <w:t>Aerobes</w:t>
            </w:r>
            <w:proofErr w:type="spellEnd"/>
            <w:r w:rsidRPr="00D91572">
              <w:rPr>
                <w:szCs w:val="24"/>
                <w:lang w:val="fr-FR"/>
              </w:rPr>
              <w:t xml:space="preserve"> </w:t>
            </w:r>
            <w:r w:rsidR="00814EA7" w:rsidRPr="00D91572">
              <w:rPr>
                <w:szCs w:val="24"/>
                <w:lang w:val="fr-FR"/>
              </w:rPr>
              <w:t>(</w:t>
            </w:r>
            <w:proofErr w:type="spellStart"/>
            <w:r w:rsidR="00814EA7" w:rsidRPr="00D91572">
              <w:rPr>
                <w:szCs w:val="24"/>
                <w:lang w:val="fr-FR"/>
              </w:rPr>
              <w:t>e.g</w:t>
            </w:r>
            <w:proofErr w:type="spellEnd"/>
            <w:r w:rsidR="00814EA7" w:rsidRPr="00D91572">
              <w:rPr>
                <w:szCs w:val="24"/>
                <w:lang w:val="fr-FR"/>
              </w:rPr>
              <w:t xml:space="preserve">. </w:t>
            </w:r>
            <w:r w:rsidR="00814EA7" w:rsidRPr="00D91572">
              <w:rPr>
                <w:i/>
                <w:szCs w:val="24"/>
                <w:lang w:val="fr-FR"/>
              </w:rPr>
              <w:t xml:space="preserve">B. </w:t>
            </w:r>
            <w:proofErr w:type="spellStart"/>
            <w:r w:rsidR="00814EA7" w:rsidRPr="00D91572">
              <w:rPr>
                <w:i/>
                <w:szCs w:val="24"/>
                <w:lang w:val="fr-FR"/>
              </w:rPr>
              <w:t>pseudomallei</w:t>
            </w:r>
            <w:proofErr w:type="spellEnd"/>
            <w:r w:rsidR="00814EA7" w:rsidRPr="00D91572">
              <w:rPr>
                <w:i/>
                <w:szCs w:val="24"/>
                <w:lang w:val="fr-FR"/>
              </w:rPr>
              <w:t xml:space="preserve">, S. </w:t>
            </w:r>
            <w:proofErr w:type="spellStart"/>
            <w:r w:rsidR="00814EA7" w:rsidRPr="00D91572">
              <w:rPr>
                <w:szCs w:val="24"/>
                <w:lang w:val="fr-FR"/>
              </w:rPr>
              <w:t>Typhi</w:t>
            </w:r>
            <w:proofErr w:type="spellEnd"/>
            <w:r w:rsidRPr="00D91572">
              <w:rPr>
                <w:szCs w:val="24"/>
                <w:lang w:val="fr-FR"/>
              </w:rPr>
              <w:t>)</w:t>
            </w:r>
          </w:p>
        </w:tc>
        <w:tc>
          <w:tcPr>
            <w:tcW w:w="3079" w:type="dxa"/>
          </w:tcPr>
          <w:p w:rsidR="003A5021" w:rsidRDefault="0072305E" w:rsidP="007270B1">
            <w:pPr>
              <w:jc w:val="left"/>
              <w:rPr>
                <w:szCs w:val="24"/>
                <w:lang w:val="en-GB"/>
              </w:rPr>
            </w:pPr>
            <w:r>
              <w:rPr>
                <w:szCs w:val="24"/>
                <w:lang w:val="en-GB"/>
              </w:rPr>
              <w:t>Saline; 0.5 McFarland*</w:t>
            </w:r>
          </w:p>
          <w:p w:rsidR="0065375F" w:rsidRPr="00754593" w:rsidRDefault="0065375F" w:rsidP="007270B1">
            <w:pPr>
              <w:jc w:val="left"/>
              <w:rPr>
                <w:szCs w:val="24"/>
                <w:lang w:val="en-GB"/>
              </w:rPr>
            </w:pPr>
            <w:r w:rsidRPr="00754593">
              <w:rPr>
                <w:szCs w:val="24"/>
                <w:lang w:val="en-GB"/>
              </w:rPr>
              <w:t>Mueller Hinton</w:t>
            </w:r>
          </w:p>
        </w:tc>
        <w:tc>
          <w:tcPr>
            <w:tcW w:w="2975" w:type="dxa"/>
          </w:tcPr>
          <w:p w:rsidR="0065375F" w:rsidRPr="00754593" w:rsidRDefault="0065375F" w:rsidP="00814EA7">
            <w:pPr>
              <w:jc w:val="left"/>
              <w:rPr>
                <w:color w:val="FF0000"/>
                <w:szCs w:val="24"/>
                <w:lang w:val="en-GB"/>
              </w:rPr>
            </w:pPr>
            <w:r w:rsidRPr="00754593">
              <w:rPr>
                <w:szCs w:val="24"/>
                <w:lang w:val="en-GB"/>
              </w:rPr>
              <w:t>35-37°C in air for 16-</w:t>
            </w:r>
            <w:r w:rsidR="00814EA7">
              <w:rPr>
                <w:szCs w:val="24"/>
                <w:lang w:val="en-GB"/>
              </w:rPr>
              <w:t>20</w:t>
            </w:r>
            <w:r w:rsidRPr="00754593">
              <w:rPr>
                <w:szCs w:val="24"/>
                <w:lang w:val="en-GB"/>
              </w:rPr>
              <w:t>h</w:t>
            </w:r>
          </w:p>
        </w:tc>
      </w:tr>
      <w:tr w:rsidR="0065375F" w:rsidRPr="00754593" w:rsidTr="0072305E">
        <w:tc>
          <w:tcPr>
            <w:tcW w:w="2802" w:type="dxa"/>
          </w:tcPr>
          <w:p w:rsidR="0065375F" w:rsidRPr="00A46902" w:rsidRDefault="0065375F" w:rsidP="00A46902">
            <w:pPr>
              <w:jc w:val="left"/>
              <w:rPr>
                <w:szCs w:val="24"/>
                <w:highlight w:val="yellow"/>
                <w:lang w:val="en-GB"/>
              </w:rPr>
            </w:pPr>
            <w:r w:rsidRPr="00A46902">
              <w:rPr>
                <w:iCs/>
                <w:szCs w:val="24"/>
                <w:lang w:val="en-GB"/>
              </w:rPr>
              <w:t>Staphylococc</w:t>
            </w:r>
            <w:r w:rsidR="00A46902" w:rsidRPr="00A46902">
              <w:rPr>
                <w:iCs/>
                <w:szCs w:val="24"/>
                <w:lang w:val="en-GB"/>
              </w:rPr>
              <w:t>i</w:t>
            </w:r>
          </w:p>
        </w:tc>
        <w:tc>
          <w:tcPr>
            <w:tcW w:w="3079" w:type="dxa"/>
          </w:tcPr>
          <w:p w:rsidR="0072305E" w:rsidRDefault="0072305E" w:rsidP="007270B1">
            <w:pPr>
              <w:jc w:val="left"/>
              <w:rPr>
                <w:szCs w:val="24"/>
                <w:lang w:val="en-GB"/>
              </w:rPr>
            </w:pPr>
            <w:r>
              <w:rPr>
                <w:szCs w:val="24"/>
                <w:lang w:val="en-GB"/>
              </w:rPr>
              <w:t xml:space="preserve">Saline; </w:t>
            </w:r>
            <w:r w:rsidR="00A46902">
              <w:rPr>
                <w:szCs w:val="24"/>
                <w:lang w:val="en-GB"/>
              </w:rPr>
              <w:t>0.5 McFarland</w:t>
            </w:r>
          </w:p>
          <w:p w:rsidR="0065375F" w:rsidRPr="00754593" w:rsidRDefault="0065375F" w:rsidP="007270B1">
            <w:pPr>
              <w:jc w:val="left"/>
              <w:rPr>
                <w:szCs w:val="24"/>
                <w:lang w:val="en-GB"/>
              </w:rPr>
            </w:pPr>
            <w:r w:rsidRPr="00754593">
              <w:rPr>
                <w:szCs w:val="24"/>
                <w:lang w:val="en-GB"/>
              </w:rPr>
              <w:t>Mueller Hinton</w:t>
            </w:r>
          </w:p>
        </w:tc>
        <w:tc>
          <w:tcPr>
            <w:tcW w:w="2975" w:type="dxa"/>
          </w:tcPr>
          <w:p w:rsidR="0065375F" w:rsidRPr="00A46902" w:rsidRDefault="0065375F" w:rsidP="00A46902">
            <w:pPr>
              <w:jc w:val="left"/>
              <w:rPr>
                <w:szCs w:val="24"/>
                <w:lang w:val="en-GB"/>
              </w:rPr>
            </w:pPr>
            <w:r w:rsidRPr="00754593">
              <w:rPr>
                <w:szCs w:val="24"/>
                <w:lang w:val="en-GB"/>
              </w:rPr>
              <w:t xml:space="preserve">35-37°C in air for </w:t>
            </w:r>
            <w:r w:rsidR="00A46902">
              <w:rPr>
                <w:szCs w:val="24"/>
                <w:lang w:val="en-GB"/>
              </w:rPr>
              <w:t>24h (</w:t>
            </w:r>
            <w:r w:rsidR="00A46902">
              <w:rPr>
                <w:i/>
                <w:szCs w:val="24"/>
                <w:lang w:val="en-GB"/>
              </w:rPr>
              <w:t>S. aureus</w:t>
            </w:r>
            <w:r w:rsidR="00A46902">
              <w:rPr>
                <w:szCs w:val="24"/>
                <w:lang w:val="en-GB"/>
              </w:rPr>
              <w:t>) / 48h (CoNS)</w:t>
            </w:r>
          </w:p>
        </w:tc>
      </w:tr>
      <w:tr w:rsidR="0065375F" w:rsidRPr="00754593" w:rsidTr="0072305E">
        <w:tc>
          <w:tcPr>
            <w:tcW w:w="2802" w:type="dxa"/>
          </w:tcPr>
          <w:p w:rsidR="0065375F" w:rsidRPr="00163FBA" w:rsidRDefault="0065375F" w:rsidP="007270B1">
            <w:pPr>
              <w:jc w:val="left"/>
              <w:rPr>
                <w:i/>
                <w:szCs w:val="24"/>
                <w:lang w:val="en-GB"/>
              </w:rPr>
            </w:pPr>
            <w:r w:rsidRPr="00754593">
              <w:rPr>
                <w:i/>
                <w:iCs/>
                <w:szCs w:val="24"/>
                <w:lang w:val="en-GB"/>
              </w:rPr>
              <w:t>Neisseria meningitidi</w:t>
            </w:r>
            <w:r w:rsidR="00163FBA">
              <w:rPr>
                <w:i/>
                <w:iCs/>
                <w:szCs w:val="24"/>
                <w:lang w:val="en-GB"/>
              </w:rPr>
              <w:t>s</w:t>
            </w:r>
          </w:p>
        </w:tc>
        <w:tc>
          <w:tcPr>
            <w:tcW w:w="3079" w:type="dxa"/>
          </w:tcPr>
          <w:p w:rsidR="00A46902" w:rsidRDefault="00814EA7" w:rsidP="007270B1">
            <w:pPr>
              <w:jc w:val="left"/>
              <w:rPr>
                <w:szCs w:val="24"/>
                <w:lang w:val="en-GB"/>
              </w:rPr>
            </w:pPr>
            <w:r>
              <w:rPr>
                <w:szCs w:val="24"/>
                <w:lang w:val="en-GB"/>
              </w:rPr>
              <w:t>Saline / Mueller Hinton broth / BHI broth; 0.5 McFarland</w:t>
            </w:r>
            <w:r w:rsidR="00A46902">
              <w:rPr>
                <w:szCs w:val="24"/>
                <w:lang w:val="en-GB"/>
              </w:rPr>
              <w:t>*</w:t>
            </w:r>
          </w:p>
          <w:p w:rsidR="0065375F" w:rsidRPr="00754593" w:rsidRDefault="0065375F" w:rsidP="007270B1">
            <w:pPr>
              <w:jc w:val="left"/>
              <w:rPr>
                <w:szCs w:val="24"/>
                <w:lang w:val="en-GB"/>
              </w:rPr>
            </w:pPr>
            <w:r w:rsidRPr="00754593">
              <w:rPr>
                <w:szCs w:val="24"/>
                <w:lang w:val="en-GB"/>
              </w:rPr>
              <w:t>Mueller Hinton with 5% sheep blood</w:t>
            </w:r>
          </w:p>
        </w:tc>
        <w:tc>
          <w:tcPr>
            <w:tcW w:w="2975" w:type="dxa"/>
          </w:tcPr>
          <w:p w:rsidR="0065375F" w:rsidRPr="00754593" w:rsidRDefault="0065375F" w:rsidP="007270B1">
            <w:pPr>
              <w:jc w:val="left"/>
              <w:rPr>
                <w:szCs w:val="24"/>
                <w:lang w:val="en-GB"/>
              </w:rPr>
            </w:pPr>
            <w:r w:rsidRPr="00754593">
              <w:rPr>
                <w:szCs w:val="24"/>
                <w:lang w:val="en-GB"/>
              </w:rPr>
              <w:t>35-37°C in 5% CO</w:t>
            </w:r>
            <w:r w:rsidRPr="00754593">
              <w:rPr>
                <w:szCs w:val="24"/>
                <w:vertAlign w:val="subscript"/>
                <w:lang w:val="en-GB"/>
              </w:rPr>
              <w:t>2</w:t>
            </w:r>
            <w:r w:rsidRPr="00754593">
              <w:rPr>
                <w:szCs w:val="24"/>
                <w:lang w:val="en-GB"/>
              </w:rPr>
              <w:t xml:space="preserve"> for 20-24h</w:t>
            </w:r>
          </w:p>
        </w:tc>
      </w:tr>
      <w:tr w:rsidR="0065375F" w:rsidRPr="00754593" w:rsidTr="0072305E">
        <w:tc>
          <w:tcPr>
            <w:tcW w:w="2802" w:type="dxa"/>
          </w:tcPr>
          <w:p w:rsidR="0065375F" w:rsidRPr="00754593" w:rsidRDefault="0065375F" w:rsidP="00163FBA">
            <w:pPr>
              <w:jc w:val="left"/>
              <w:rPr>
                <w:iCs/>
                <w:szCs w:val="24"/>
                <w:lang w:val="en-GB"/>
              </w:rPr>
            </w:pPr>
            <w:bookmarkStart w:id="1" w:name="_Toc31691613"/>
            <w:r w:rsidRPr="00754593">
              <w:rPr>
                <w:i/>
                <w:szCs w:val="24"/>
                <w:lang w:val="en-GB"/>
              </w:rPr>
              <w:t>Streptococcus pneumonia</w:t>
            </w:r>
            <w:bookmarkEnd w:id="1"/>
            <w:r w:rsidRPr="00754593">
              <w:rPr>
                <w:i/>
                <w:szCs w:val="24"/>
                <w:lang w:val="en-GB"/>
              </w:rPr>
              <w:t>e</w:t>
            </w:r>
            <w:r w:rsidRPr="00754593">
              <w:rPr>
                <w:szCs w:val="24"/>
                <w:lang w:val="en-GB"/>
              </w:rPr>
              <w:t xml:space="preserve"> and other </w:t>
            </w:r>
            <w:r w:rsidR="00163FBA">
              <w:rPr>
                <w:szCs w:val="24"/>
                <w:lang w:val="en-GB"/>
              </w:rPr>
              <w:t xml:space="preserve">α-haemolytic </w:t>
            </w:r>
            <w:r w:rsidRPr="00754593">
              <w:rPr>
                <w:szCs w:val="24"/>
                <w:lang w:val="en-GB"/>
              </w:rPr>
              <w:t>streptococci</w:t>
            </w:r>
          </w:p>
        </w:tc>
        <w:tc>
          <w:tcPr>
            <w:tcW w:w="3079" w:type="dxa"/>
          </w:tcPr>
          <w:p w:rsidR="0072305E" w:rsidRDefault="0072305E" w:rsidP="007270B1">
            <w:pPr>
              <w:jc w:val="left"/>
              <w:rPr>
                <w:szCs w:val="24"/>
                <w:lang w:val="en-GB"/>
              </w:rPr>
            </w:pPr>
            <w:r>
              <w:rPr>
                <w:szCs w:val="24"/>
                <w:lang w:val="en-GB"/>
              </w:rPr>
              <w:t>Saline / Mueller Hinton broth</w:t>
            </w:r>
            <w:r w:rsidR="00814EA7">
              <w:rPr>
                <w:szCs w:val="24"/>
                <w:lang w:val="en-GB"/>
              </w:rPr>
              <w:t xml:space="preserve"> / BHI broth</w:t>
            </w:r>
            <w:r>
              <w:rPr>
                <w:szCs w:val="24"/>
                <w:lang w:val="en-GB"/>
              </w:rPr>
              <w:t>; 0.5 McFarland*</w:t>
            </w:r>
          </w:p>
          <w:p w:rsidR="0065375F" w:rsidRPr="00754593" w:rsidRDefault="0065375F" w:rsidP="007270B1">
            <w:pPr>
              <w:jc w:val="left"/>
              <w:rPr>
                <w:szCs w:val="24"/>
                <w:lang w:val="en-GB"/>
              </w:rPr>
            </w:pPr>
            <w:r w:rsidRPr="00754593">
              <w:rPr>
                <w:szCs w:val="24"/>
                <w:lang w:val="en-GB"/>
              </w:rPr>
              <w:t>Mueller Hinton with 5% sheep blood</w:t>
            </w:r>
          </w:p>
        </w:tc>
        <w:tc>
          <w:tcPr>
            <w:tcW w:w="2975" w:type="dxa"/>
          </w:tcPr>
          <w:p w:rsidR="0065375F" w:rsidRPr="00754593" w:rsidRDefault="0065375F" w:rsidP="007270B1">
            <w:pPr>
              <w:jc w:val="left"/>
              <w:rPr>
                <w:szCs w:val="24"/>
                <w:lang w:val="en-GB"/>
              </w:rPr>
            </w:pPr>
            <w:r w:rsidRPr="00754593">
              <w:rPr>
                <w:szCs w:val="24"/>
                <w:lang w:val="en-GB"/>
              </w:rPr>
              <w:t>35-37°C in 5% CO</w:t>
            </w:r>
            <w:r w:rsidRPr="00754593">
              <w:rPr>
                <w:szCs w:val="24"/>
                <w:vertAlign w:val="subscript"/>
                <w:lang w:val="en-GB"/>
              </w:rPr>
              <w:t>2</w:t>
            </w:r>
            <w:r w:rsidRPr="00754593">
              <w:rPr>
                <w:szCs w:val="24"/>
                <w:lang w:val="en-GB"/>
              </w:rPr>
              <w:t xml:space="preserve"> for 20-24h</w:t>
            </w:r>
          </w:p>
        </w:tc>
      </w:tr>
    </w:tbl>
    <w:p w:rsidR="0065375F" w:rsidRPr="003A5021" w:rsidRDefault="0072305E" w:rsidP="0065375F">
      <w:pPr>
        <w:rPr>
          <w:i/>
          <w:lang w:val="en-GB"/>
        </w:rPr>
      </w:pPr>
      <w:r>
        <w:rPr>
          <w:lang w:val="en-GB"/>
        </w:rPr>
        <w:t>*Use 1 McFarland suspension if mucoid</w:t>
      </w:r>
      <w:r w:rsidR="003A5021">
        <w:rPr>
          <w:lang w:val="en-GB"/>
        </w:rPr>
        <w:t xml:space="preserve">; also use 1 McFarland for </w:t>
      </w:r>
      <w:r w:rsidR="003A5021">
        <w:rPr>
          <w:i/>
          <w:lang w:val="en-GB"/>
        </w:rPr>
        <w:t>B. pseudomallei</w:t>
      </w:r>
    </w:p>
    <w:p w:rsidR="0065375F" w:rsidRPr="00754593" w:rsidRDefault="0065375F" w:rsidP="0065375F">
      <w:pPr>
        <w:pStyle w:val="Heading2"/>
        <w:rPr>
          <w:lang w:val="en-GB"/>
        </w:rPr>
      </w:pPr>
      <w:r w:rsidRPr="00754593">
        <w:rPr>
          <w:lang w:val="en-GB"/>
        </w:rPr>
        <w:t xml:space="preserve">Application of </w:t>
      </w:r>
      <w:r>
        <w:rPr>
          <w:lang w:val="en-GB"/>
        </w:rPr>
        <w:t>Etests</w:t>
      </w:r>
    </w:p>
    <w:p w:rsidR="0065375F" w:rsidRDefault="0065375F" w:rsidP="0065375F">
      <w:pPr>
        <w:pStyle w:val="ListParagraph"/>
        <w:numPr>
          <w:ilvl w:val="0"/>
          <w:numId w:val="10"/>
        </w:numPr>
        <w:rPr>
          <w:lang w:val="en-GB"/>
        </w:rPr>
      </w:pPr>
      <w:r w:rsidRPr="00754593">
        <w:rPr>
          <w:lang w:val="en-GB"/>
        </w:rPr>
        <w:t xml:space="preserve">Place </w:t>
      </w:r>
      <w:r>
        <w:rPr>
          <w:lang w:val="en-GB"/>
        </w:rPr>
        <w:t>Etest</w:t>
      </w:r>
      <w:r w:rsidRPr="00754593">
        <w:rPr>
          <w:lang w:val="en-GB"/>
        </w:rPr>
        <w:t>s of the appropriate antibiotics for the species in question (</w:t>
      </w:r>
      <w:r>
        <w:rPr>
          <w:lang w:val="en-GB"/>
        </w:rPr>
        <w:t>Appendix 1 of SOP MIC-001</w:t>
      </w:r>
      <w:r w:rsidRPr="00754593">
        <w:rPr>
          <w:lang w:val="en-GB"/>
        </w:rPr>
        <w:t xml:space="preserve">) on the plate manually </w:t>
      </w:r>
      <w:r w:rsidR="005B59B3">
        <w:rPr>
          <w:lang w:val="en-GB"/>
        </w:rPr>
        <w:t>using forceps.</w:t>
      </w:r>
    </w:p>
    <w:p w:rsidR="005B59B3" w:rsidRPr="005B59B3" w:rsidRDefault="005B59B3" w:rsidP="005B59B3">
      <w:pPr>
        <w:pStyle w:val="ListParagraph"/>
        <w:numPr>
          <w:ilvl w:val="0"/>
          <w:numId w:val="16"/>
        </w:numPr>
        <w:rPr>
          <w:lang w:val="en-GB"/>
        </w:rPr>
      </w:pPr>
      <w:r>
        <w:rPr>
          <w:lang w:val="en-GB"/>
        </w:rPr>
        <w:t>Do not touch the antimicrobial impregnated side of the Etest strip with your fingers.</w:t>
      </w:r>
    </w:p>
    <w:p w:rsidR="0065375F" w:rsidRDefault="0038078F" w:rsidP="0065375F">
      <w:pPr>
        <w:pStyle w:val="ListParagraph"/>
        <w:numPr>
          <w:ilvl w:val="0"/>
          <w:numId w:val="14"/>
        </w:numPr>
        <w:rPr>
          <w:lang w:val="en-GB"/>
        </w:rPr>
      </w:pPr>
      <w:r>
        <w:rPr>
          <w:lang w:val="en-GB"/>
        </w:rPr>
        <w:t>One or two Etests can be applied per 90mm aga</w:t>
      </w:r>
      <w:r w:rsidR="005B59B3">
        <w:rPr>
          <w:lang w:val="en-GB"/>
        </w:rPr>
        <w:t>r</w:t>
      </w:r>
      <w:r>
        <w:rPr>
          <w:lang w:val="en-GB"/>
        </w:rPr>
        <w:t xml:space="preserve"> plate (See </w:t>
      </w:r>
      <w:r w:rsidRPr="00B92BF7">
        <w:rPr>
          <w:lang w:val="en-GB"/>
        </w:rPr>
        <w:t>Figure 1</w:t>
      </w:r>
      <w:r>
        <w:rPr>
          <w:lang w:val="en-GB"/>
        </w:rPr>
        <w:t>)</w:t>
      </w:r>
      <w:r w:rsidR="00B92BF7">
        <w:rPr>
          <w:lang w:val="en-GB"/>
        </w:rPr>
        <w:t>.</w:t>
      </w:r>
    </w:p>
    <w:p w:rsidR="0065375F" w:rsidRDefault="0038078F" w:rsidP="0065375F">
      <w:pPr>
        <w:pStyle w:val="ListParagraph"/>
        <w:numPr>
          <w:ilvl w:val="0"/>
          <w:numId w:val="14"/>
        </w:numPr>
        <w:rPr>
          <w:lang w:val="en-GB"/>
        </w:rPr>
      </w:pPr>
      <w:r>
        <w:rPr>
          <w:lang w:val="en-GB"/>
        </w:rPr>
        <w:t>Etests</w:t>
      </w:r>
      <w:r w:rsidR="0065375F" w:rsidRPr="00754593">
        <w:rPr>
          <w:lang w:val="en-GB"/>
        </w:rPr>
        <w:t xml:space="preserve"> need to be applied evenly on the </w:t>
      </w:r>
      <w:r w:rsidR="00B92BF7">
        <w:rPr>
          <w:lang w:val="en-GB"/>
        </w:rPr>
        <w:t xml:space="preserve">dry </w:t>
      </w:r>
      <w:r w:rsidR="0065375F" w:rsidRPr="00754593">
        <w:rPr>
          <w:lang w:val="en-GB"/>
        </w:rPr>
        <w:t>agar surface</w:t>
      </w:r>
      <w:r>
        <w:rPr>
          <w:lang w:val="en-GB"/>
        </w:rPr>
        <w:t xml:space="preserve"> with the </w:t>
      </w:r>
      <w:r w:rsidR="0072305E">
        <w:rPr>
          <w:lang w:val="en-GB"/>
        </w:rPr>
        <w:t>MIC scale facing upward</w:t>
      </w:r>
      <w:r w:rsidR="0065375F" w:rsidRPr="00754593">
        <w:rPr>
          <w:lang w:val="en-GB"/>
        </w:rPr>
        <w:t xml:space="preserve">; press gently on the </w:t>
      </w:r>
      <w:r>
        <w:rPr>
          <w:lang w:val="en-GB"/>
        </w:rPr>
        <w:t>strip</w:t>
      </w:r>
      <w:r w:rsidR="0065375F" w:rsidRPr="00754593">
        <w:rPr>
          <w:lang w:val="en-GB"/>
        </w:rPr>
        <w:t xml:space="preserve"> after application.</w:t>
      </w:r>
      <w:r w:rsidR="0072305E">
        <w:rPr>
          <w:lang w:val="en-GB"/>
        </w:rPr>
        <w:t xml:space="preserve"> Small bubbles will not affect the results</w:t>
      </w:r>
    </w:p>
    <w:p w:rsidR="0065375F" w:rsidRPr="00754593" w:rsidRDefault="0065375F" w:rsidP="0065375F">
      <w:pPr>
        <w:pStyle w:val="ListParagraph"/>
        <w:numPr>
          <w:ilvl w:val="0"/>
          <w:numId w:val="14"/>
        </w:numPr>
        <w:rPr>
          <w:lang w:val="en-GB"/>
        </w:rPr>
      </w:pPr>
      <w:r w:rsidRPr="00754593">
        <w:rPr>
          <w:lang w:val="en-GB"/>
        </w:rPr>
        <w:t>Because some antibiotics di</w:t>
      </w:r>
      <w:r w:rsidR="0072305E">
        <w:rPr>
          <w:lang w:val="en-GB"/>
        </w:rPr>
        <w:t>ffuse almost instantaneously, an Etest</w:t>
      </w:r>
      <w:r w:rsidRPr="00754593">
        <w:rPr>
          <w:lang w:val="en-GB"/>
        </w:rPr>
        <w:t xml:space="preserve"> should not be relocated once it has come into contact with the agar surface</w:t>
      </w:r>
      <w:r w:rsidR="0072305E">
        <w:rPr>
          <w:lang w:val="en-GB"/>
        </w:rPr>
        <w:t>.</w:t>
      </w:r>
    </w:p>
    <w:p w:rsidR="0065375F" w:rsidRPr="00754593" w:rsidRDefault="005B59B3" w:rsidP="0065375F">
      <w:pPr>
        <w:pStyle w:val="ListParagraph"/>
        <w:numPr>
          <w:ilvl w:val="0"/>
          <w:numId w:val="14"/>
        </w:numPr>
        <w:rPr>
          <w:lang w:val="en-GB"/>
        </w:rPr>
      </w:pPr>
      <w:r>
        <w:rPr>
          <w:lang w:val="en-GB"/>
        </w:rPr>
        <w:t>Etests</w:t>
      </w:r>
      <w:r w:rsidR="0065375F" w:rsidRPr="00754593">
        <w:rPr>
          <w:lang w:val="en-GB"/>
        </w:rPr>
        <w:t xml:space="preserve"> should be applied no later than 15 minutes after the plates have been inoculated. Similarly, once the </w:t>
      </w:r>
      <w:r>
        <w:rPr>
          <w:lang w:val="en-GB"/>
        </w:rPr>
        <w:t>Etests</w:t>
      </w:r>
      <w:r w:rsidR="0065375F" w:rsidRPr="00754593">
        <w:rPr>
          <w:lang w:val="en-GB"/>
        </w:rPr>
        <w:t xml:space="preserve"> are applied, they should be put in the incubator within a 15 minutes interval to prevent pre-diffusion of the antimicrobial at room temperature.</w:t>
      </w:r>
    </w:p>
    <w:p w:rsidR="0065375F" w:rsidRPr="00754593" w:rsidRDefault="0065375F" w:rsidP="0065375F">
      <w:pPr>
        <w:pStyle w:val="ListParagraph"/>
        <w:numPr>
          <w:ilvl w:val="0"/>
          <w:numId w:val="10"/>
        </w:numPr>
        <w:rPr>
          <w:lang w:val="en-GB"/>
        </w:rPr>
      </w:pPr>
      <w:r w:rsidRPr="00754593">
        <w:rPr>
          <w:lang w:val="en-GB"/>
        </w:rPr>
        <w:t xml:space="preserve">Invert the plates and incubate in the correct atmosphere for the appropriate time as indicated in Table 1. </w:t>
      </w:r>
    </w:p>
    <w:p w:rsidR="0065375F" w:rsidRDefault="0065375F" w:rsidP="0065375F">
      <w:pPr>
        <w:pStyle w:val="ListParagraph"/>
        <w:numPr>
          <w:ilvl w:val="0"/>
          <w:numId w:val="13"/>
        </w:numPr>
        <w:rPr>
          <w:lang w:val="en-GB"/>
        </w:rPr>
      </w:pPr>
      <w:r w:rsidRPr="00754593">
        <w:rPr>
          <w:lang w:val="en-GB"/>
        </w:rPr>
        <w:t xml:space="preserve">Agar plates should not be </w:t>
      </w:r>
      <w:r w:rsidR="003E25A8">
        <w:rPr>
          <w:lang w:val="en-GB"/>
        </w:rPr>
        <w:t>placed in stacks of more than 5</w:t>
      </w:r>
      <w:r w:rsidRPr="00754593">
        <w:rPr>
          <w:lang w:val="en-GB"/>
        </w:rPr>
        <w:t xml:space="preserve"> because the middle plates will take longer to reach the incubator temperature. This delay could cause overlarge </w:t>
      </w:r>
      <w:r w:rsidR="00B92BF7">
        <w:rPr>
          <w:lang w:val="en-GB"/>
        </w:rPr>
        <w:t xml:space="preserve">inhibition </w:t>
      </w:r>
      <w:r w:rsidRPr="00754593">
        <w:rPr>
          <w:lang w:val="en-GB"/>
        </w:rPr>
        <w:t>zones.</w:t>
      </w:r>
    </w:p>
    <w:p w:rsidR="005B59B3" w:rsidRPr="006E1344" w:rsidRDefault="005B59B3" w:rsidP="005B59B3">
      <w:pPr>
        <w:rPr>
          <w:lang w:val="en-GB"/>
        </w:rPr>
      </w:pPr>
      <w:proofErr w:type="gramStart"/>
      <w:r>
        <w:rPr>
          <w:b/>
          <w:lang w:val="en-GB"/>
        </w:rPr>
        <w:t>Figure 1.</w:t>
      </w:r>
      <w:proofErr w:type="gramEnd"/>
      <w:r>
        <w:rPr>
          <w:b/>
          <w:lang w:val="en-GB"/>
        </w:rPr>
        <w:t xml:space="preserve"> </w:t>
      </w:r>
      <w:r w:rsidRPr="006E1344">
        <w:rPr>
          <w:lang w:val="en-GB"/>
        </w:rPr>
        <w:t xml:space="preserve">Correct application of </w:t>
      </w:r>
      <w:r w:rsidR="00A53C7F" w:rsidRPr="006E1344">
        <w:rPr>
          <w:lang w:val="en-GB"/>
        </w:rPr>
        <w:t xml:space="preserve">two </w:t>
      </w:r>
      <w:r w:rsidRPr="006E1344">
        <w:rPr>
          <w:lang w:val="en-GB"/>
        </w:rPr>
        <w:t>Etest strips to a 90mm agar plate</w:t>
      </w:r>
    </w:p>
    <w:p w:rsidR="005B59B3" w:rsidRPr="005B59B3" w:rsidRDefault="00A53C7F" w:rsidP="005B59B3">
      <w:pPr>
        <w:rPr>
          <w:b/>
          <w:lang w:val="en-GB"/>
        </w:rPr>
      </w:pPr>
      <w:r>
        <w:rPr>
          <w:rFonts w:ascii="Arial" w:hAnsi="Arial"/>
          <w:noProof/>
          <w:lang w:val="en-GB" w:eastAsia="en-GB"/>
        </w:rPr>
        <mc:AlternateContent>
          <mc:Choice Requires="wpc">
            <w:drawing>
              <wp:inline distT="0" distB="0" distL="0" distR="0">
                <wp:extent cx="5486400" cy="2208362"/>
                <wp:effectExtent l="0" t="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7" name="Group 27"/>
                        <wpg:cNvGrpSpPr/>
                        <wpg:grpSpPr>
                          <a:xfrm>
                            <a:off x="1611954" y="201559"/>
                            <a:ext cx="1829149" cy="1828800"/>
                            <a:chOff x="1611954" y="201559"/>
                            <a:chExt cx="1829149" cy="1828800"/>
                          </a:xfrm>
                        </wpg:grpSpPr>
                        <wps:wsp>
                          <wps:cNvPr id="2" name="Oval 4"/>
                          <wps:cNvSpPr>
                            <a:spLocks noChangeArrowheads="1"/>
                          </wps:cNvSpPr>
                          <wps:spPr bwMode="auto">
                            <a:xfrm>
                              <a:off x="1611954" y="201559"/>
                              <a:ext cx="1829149"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5" name="Group 25"/>
                          <wpg:cNvGrpSpPr/>
                          <wpg:grpSpPr>
                            <a:xfrm>
                              <a:off x="2990864" y="571824"/>
                              <a:ext cx="181103" cy="1143099"/>
                              <a:chOff x="3905264" y="648024"/>
                              <a:chExt cx="181103" cy="1143099"/>
                            </a:xfrm>
                          </wpg:grpSpPr>
                          <wpg:grpSp>
                            <wpg:cNvPr id="17" name="Group 17"/>
                            <wpg:cNvGrpSpPr/>
                            <wpg:grpSpPr>
                              <a:xfrm flipV="1">
                                <a:off x="3905264" y="648024"/>
                                <a:ext cx="114427" cy="1143099"/>
                                <a:chOff x="3914789" y="648024"/>
                                <a:chExt cx="114427" cy="1143099"/>
                              </a:xfrm>
                            </wpg:grpSpPr>
                            <wps:wsp>
                              <wps:cNvPr id="6" name="Rectangle 8"/>
                              <wps:cNvSpPr>
                                <a:spLocks noChangeArrowheads="1"/>
                              </wps:cNvSpPr>
                              <wps:spPr bwMode="auto">
                                <a:xfrm>
                                  <a:off x="3914789" y="648123"/>
                                  <a:ext cx="114427"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914916" y="648024"/>
                                  <a:ext cx="114300" cy="2200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3C7F" w:rsidRPr="00A53C7F" w:rsidRDefault="00A53C7F" w:rsidP="00A53C7F">
                                    <w:pPr>
                                      <w:rPr>
                                        <w:rFonts w:eastAsia="Times New Roman"/>
                                        <w:lang w:val="en-GB"/>
                                      </w:rPr>
                                    </w:pPr>
                                  </w:p>
                                </w:txbxContent>
                              </wps:txbx>
                              <wps:bodyPr rot="0" vert="horz" wrap="square" lIns="91440" tIns="45720" rIns="91440" bIns="45720" anchor="t" anchorCtr="0" upright="1">
                                <a:noAutofit/>
                              </wps:bodyPr>
                            </wps:wsp>
                          </wpg:grpSp>
                          <wps:wsp>
                            <wps:cNvPr id="18" name="Text Box 18"/>
                            <wps:cNvSpPr txBox="1"/>
                            <wps:spPr>
                              <a:xfrm flipV="1">
                                <a:off x="3943351" y="1570719"/>
                                <a:ext cx="143016" cy="201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C7F" w:rsidRPr="00671821" w:rsidRDefault="00A53C7F" w:rsidP="00A53C7F">
                                  <w:pPr>
                                    <w:jc w:val="left"/>
                                    <w:rPr>
                                      <w:sz w:val="12"/>
                                      <w:szCs w:val="12"/>
                                      <w:lang w:val="en-GB"/>
                                    </w:rPr>
                                  </w:pPr>
                                  <w:r w:rsidRPr="00671821">
                                    <w:rPr>
                                      <w:sz w:val="12"/>
                                      <w:szCs w:val="12"/>
                                      <w:lang w:val="en-G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1846875" y="570525"/>
                              <a:ext cx="200025" cy="1142365"/>
                              <a:chOff x="0" y="0"/>
                              <a:chExt cx="200025" cy="1143099"/>
                            </a:xfrm>
                          </wpg:grpSpPr>
                          <wpg:grpSp>
                            <wpg:cNvPr id="21" name="Group 21"/>
                            <wpg:cNvGrpSpPr/>
                            <wpg:grpSpPr>
                              <a:xfrm>
                                <a:off x="47639" y="0"/>
                                <a:ext cx="114427" cy="1143099"/>
                                <a:chOff x="47639" y="0"/>
                                <a:chExt cx="114427" cy="1143099"/>
                              </a:xfrm>
                            </wpg:grpSpPr>
                            <wps:wsp>
                              <wps:cNvPr id="23" name="Rectangle 23"/>
                              <wps:cNvSpPr>
                                <a:spLocks noChangeArrowheads="1"/>
                              </wps:cNvSpPr>
                              <wps:spPr bwMode="auto">
                                <a:xfrm>
                                  <a:off x="47639" y="99"/>
                                  <a:ext cx="114427"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3C7F" w:rsidRDefault="00A53C7F" w:rsidP="00A53C7F">
                                    <w:pPr>
                                      <w:rPr>
                                        <w:rFonts w:eastAsia="Times New Roman"/>
                                      </w:rPr>
                                    </w:pPr>
                                  </w:p>
                                </w:txbxContent>
                              </wps:txbx>
                              <wps:bodyPr rot="0" vert="horz" wrap="square" lIns="91440" tIns="45720" rIns="91440" bIns="45720" anchor="t" anchorCtr="0" upright="1">
                                <a:noAutofit/>
                              </wps:bodyPr>
                            </wps:wsp>
                            <wps:wsp>
                              <wps:cNvPr id="24" name="Rectangle 24"/>
                              <wps:cNvSpPr>
                                <a:spLocks noChangeArrowheads="1"/>
                              </wps:cNvSpPr>
                              <wps:spPr bwMode="auto">
                                <a:xfrm>
                                  <a:off x="47766" y="0"/>
                                  <a:ext cx="114300" cy="2200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3C7F" w:rsidRDefault="00A53C7F" w:rsidP="00A53C7F">
                                    <w:pPr>
                                      <w:pStyle w:val="NormalWeb"/>
                                      <w:spacing w:before="0" w:beforeAutospacing="0" w:after="120" w:afterAutospacing="0" w:line="276" w:lineRule="auto"/>
                                      <w:jc w:val="both"/>
                                    </w:pPr>
                                    <w:r>
                                      <w:rPr>
                                        <w:rFonts w:ascii="Arial Narrow" w:eastAsia="Times New Roman" w:hAnsi="Arial Narrow" w:cs="Arial"/>
                                      </w:rPr>
                                      <w:t> </w:t>
                                    </w:r>
                                  </w:p>
                                </w:txbxContent>
                              </wps:txbx>
                              <wps:bodyPr rot="0" vert="horz" wrap="square" lIns="91440" tIns="45720" rIns="91440" bIns="45720" anchor="t" anchorCtr="0" upright="1">
                                <a:noAutofit/>
                              </wps:bodyPr>
                            </wps:wsp>
                          </wpg:grpSp>
                          <wps:wsp>
                            <wps:cNvPr id="22" name="Text Box 3"/>
                            <wps:cNvSpPr txBox="1"/>
                            <wps:spPr>
                              <a:xfrm>
                                <a:off x="0" y="27579"/>
                                <a:ext cx="200025" cy="152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C7F" w:rsidRDefault="00A53C7F" w:rsidP="00A53C7F">
                                  <w:pPr>
                                    <w:pStyle w:val="NormalWeb"/>
                                    <w:spacing w:before="0" w:beforeAutospacing="0" w:after="120" w:afterAutospacing="0" w:line="276" w:lineRule="auto"/>
                                  </w:pPr>
                                  <w:r>
                                    <w:rPr>
                                      <w:rFonts w:ascii="Arial Narrow" w:eastAsia="Times" w:hAnsi="Arial Narrow" w:cs="Arial"/>
                                      <w:sz w:val="12"/>
                                      <w:szCs w:val="12"/>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c:wpc>
                  </a:graphicData>
                </a:graphic>
              </wp:inline>
            </w:drawing>
          </mc:Choice>
          <mc:Fallback>
            <w:pict>
              <v:group id="Canvas 15" o:spid="_x0000_s1026" editas="canvas" style="width:6in;height:173.9pt;mso-position-horizontal-relative:char;mso-position-vertical-relative:line" coordsize="54864,2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078;visibility:visible;mso-wrap-style:square">
                  <v:fill o:detectmouseclick="t"/>
                  <v:path o:connecttype="none"/>
                </v:shape>
                <v:group id="Group 27" o:spid="_x0000_s1028" style="position:absolute;left:16119;top:2015;width:18292;height:18288" coordorigin="16119,2015" coordsize="18291,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4" o:spid="_x0000_s1029" style="position:absolute;left:16119;top:2015;width:1829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group id="Group 25" o:spid="_x0000_s1030" style="position:absolute;left:29908;top:5718;width:1811;height:11431" coordorigin="39052,6480" coordsize="1811,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7" o:spid="_x0000_s1031" style="position:absolute;left:39052;top:6480;width:1144;height:11431;flip:y" coordorigin="39147,6480" coordsize="114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M+RMAAAADbAAAADwAAAGRycy9kb3ducmV2LnhtbERPS4vCMBC+C/6HMII3&#10;TXcpq3SNIoKLiBfrA49DM9uGbSaliVr/vVkQvM3H95zZorO1uFHrjWMFH+MEBHHhtOFSwfGwHk1B&#10;+ICssXZMCh7kYTHv92aYaXfnPd3yUIoYwj5DBVUITSalLyqy6MeuIY7cr2sthgjbUuoW7zHc1vIz&#10;Sb6kRcOxocKGVhUVf/nVKjgtTUrp+bLdJQXRRsvLT25SpYaDbvkNIlAX3uKXe6Pj/A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AAz5EwAAAANsAAAAPAAAA&#10;AAAAAAAAAAAAAKoCAABkcnMvZG93bnJldi54bWxQSwUGAAAAAAQABAD6AAAAlwMAAAAA&#10;">
                      <v:rect id="Rectangle 8" o:spid="_x0000_s1032" style="position:absolute;left:39147;top:6481;width:114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rect id="Rectangle 16" o:spid="_x0000_s1033" style="position:absolute;left:39149;top:6480;width:1143;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A53C7F" w:rsidRPr="00A53C7F" w:rsidRDefault="00A53C7F" w:rsidP="00A53C7F">
                              <w:pPr>
                                <w:rPr>
                                  <w:rFonts w:eastAsia="Times New Roman"/>
                                  <w:lang w:val="en-GB"/>
                                </w:rPr>
                              </w:pPr>
                            </w:p>
                          </w:txbxContent>
                        </v:textbox>
                      </v:rect>
                    </v:group>
                    <v:shapetype id="_x0000_t202" coordsize="21600,21600" o:spt="202" path="m,l,21600r21600,l21600,xe">
                      <v:stroke joinstyle="miter"/>
                      <v:path gradientshapeok="t" o:connecttype="rect"/>
                    </v:shapetype>
                    <v:shape id="Text Box 18" o:spid="_x0000_s1034" type="#_x0000_t202" style="position:absolute;left:39433;top:15707;width:1430;height:202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KTcYA&#10;AADbAAAADwAAAGRycy9kb3ducmV2LnhtbESPT2vCQBDF7wW/wzJCL8Vs6qHU1FWqRRAK/olSchyy&#10;0ySYnQ3ZVdNv3zkUepvhvXnvN/Pl4Fp1oz40ng08Jyko4tLbhisD59Nm8goqRGSLrWcy8EMBlovR&#10;wxwz6+98pFseKyUhHDI0UMfYZVqHsiaHIfEdsWjfvncYZe0rbXu8S7hr9TRNX7TDhqWhxo7WNZWX&#10;/OoMrOjzi7b7/el6mdGhOH/s0uJpZ8zjeHh/AxVpiP/mv+utFXyBlV9kA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KTcYAAADbAAAADwAAAAAAAAAAAAAAAACYAgAAZHJz&#10;L2Rvd25yZXYueG1sUEsFBgAAAAAEAAQA9QAAAIsDAAAAAA==&#10;" filled="f" stroked="f" strokeweight=".5pt">
                      <v:textbox>
                        <w:txbxContent>
                          <w:p w:rsidR="00A53C7F" w:rsidRPr="00671821" w:rsidRDefault="00A53C7F" w:rsidP="00A53C7F">
                            <w:pPr>
                              <w:jc w:val="left"/>
                              <w:rPr>
                                <w:sz w:val="12"/>
                                <w:szCs w:val="12"/>
                                <w:lang w:val="en-GB"/>
                              </w:rPr>
                            </w:pPr>
                            <w:r w:rsidRPr="00671821">
                              <w:rPr>
                                <w:sz w:val="12"/>
                                <w:szCs w:val="12"/>
                                <w:lang w:val="en-GB"/>
                              </w:rPr>
                              <w:t>E</w:t>
                            </w:r>
                          </w:p>
                        </w:txbxContent>
                      </v:textbox>
                    </v:shape>
                  </v:group>
                  <v:group id="Group 20" o:spid="_x0000_s1035" style="position:absolute;left:18468;top:5705;width:2001;height:11423" coordsize="2000,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36" style="position:absolute;left:476;width:1144;height:11430" coordorigin="476" coordsize="114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3" o:spid="_x0000_s1037" style="position:absolute;left:476;width:114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textbox>
                          <w:txbxContent>
                            <w:p w:rsidR="00A53C7F" w:rsidRDefault="00A53C7F" w:rsidP="00A53C7F">
                              <w:pPr>
                                <w:rPr>
                                  <w:rFonts w:eastAsia="Times New Roman"/>
                                </w:rPr>
                              </w:pPr>
                            </w:p>
                          </w:txbxContent>
                        </v:textbox>
                      </v:rect>
                      <v:rect id="Rectangle 24" o:spid="_x0000_s1038" style="position:absolute;left:477;width:1143;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textbox>
                          <w:txbxContent>
                            <w:p w:rsidR="00A53C7F" w:rsidRDefault="00A53C7F" w:rsidP="00A53C7F">
                              <w:pPr>
                                <w:pStyle w:val="NormalWeb"/>
                                <w:spacing w:before="0" w:beforeAutospacing="0" w:after="120" w:afterAutospacing="0" w:line="276" w:lineRule="auto"/>
                                <w:jc w:val="both"/>
                              </w:pPr>
                              <w:r>
                                <w:rPr>
                                  <w:rFonts w:ascii="Arial Narrow" w:eastAsia="Times New Roman" w:hAnsi="Arial Narrow" w:cs="Arial"/>
                                </w:rPr>
                                <w:t> </w:t>
                              </w:r>
                            </w:p>
                          </w:txbxContent>
                        </v:textbox>
                      </v:rect>
                    </v:group>
                    <v:shape id="Text Box 3" o:spid="_x0000_s1039" type="#_x0000_t202" style="position:absolute;top:275;width:20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5MQA&#10;AADbAAAADwAAAGRycy9kb3ducmV2LnhtbESPQWvCQBSE7wX/w/IEL0U3DaVKdBURhBxy0ZaCt0f2&#10;mQ1m38bdbUz/fbdQ6HGYmW+YzW60nRjIh9axgpdFBoK4drrlRsHH+3G+AhEissbOMSn4pgC77eRp&#10;g4V2Dz7RcI6NSBAOBSowMfaFlKE2ZDEsXE+cvKvzFmOSvpHa4yPBbSfzLHuTFltOCwZ7Ohiqb+cv&#10;q2D4LF/1aTDRPx+qMitv1X15qZSaTcf9GkSkMf6H/9qlVpDn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2eTEAAAA2wAAAA8AAAAAAAAAAAAAAAAAmAIAAGRycy9k&#10;b3ducmV2LnhtbFBLBQYAAAAABAAEAPUAAACJAwAAAAA=&#10;" filled="f" stroked="f" strokeweight=".5pt">
                      <v:textbox>
                        <w:txbxContent>
                          <w:p w:rsidR="00A53C7F" w:rsidRDefault="00A53C7F" w:rsidP="00A53C7F">
                            <w:pPr>
                              <w:pStyle w:val="NormalWeb"/>
                              <w:spacing w:before="0" w:beforeAutospacing="0" w:after="120" w:afterAutospacing="0" w:line="276" w:lineRule="auto"/>
                            </w:pPr>
                            <w:r>
                              <w:rPr>
                                <w:rFonts w:ascii="Arial Narrow" w:eastAsia="Times" w:hAnsi="Arial Narrow" w:cs="Arial"/>
                                <w:sz w:val="12"/>
                                <w:szCs w:val="12"/>
                              </w:rPr>
                              <w:t>E</w:t>
                            </w:r>
                          </w:p>
                        </w:txbxContent>
                      </v:textbox>
                    </v:shape>
                  </v:group>
                </v:group>
                <w10:anchorlock/>
              </v:group>
            </w:pict>
          </mc:Fallback>
        </mc:AlternateContent>
      </w:r>
    </w:p>
    <w:p w:rsidR="0065375F" w:rsidRPr="00754593" w:rsidRDefault="0065375F" w:rsidP="0065375F">
      <w:pPr>
        <w:pStyle w:val="Heading2"/>
        <w:rPr>
          <w:lang w:val="en-GB"/>
        </w:rPr>
      </w:pPr>
      <w:r w:rsidRPr="00754593">
        <w:rPr>
          <w:lang w:val="en-GB"/>
        </w:rPr>
        <w:t>Reading and interpreting results</w:t>
      </w:r>
    </w:p>
    <w:p w:rsidR="00293A05" w:rsidRDefault="0065375F" w:rsidP="00293A05">
      <w:pPr>
        <w:pStyle w:val="ListParagraph"/>
        <w:numPr>
          <w:ilvl w:val="0"/>
          <w:numId w:val="10"/>
        </w:numPr>
        <w:rPr>
          <w:lang w:val="en-GB"/>
        </w:rPr>
      </w:pPr>
      <w:r w:rsidRPr="00754593">
        <w:rPr>
          <w:lang w:val="en-GB"/>
        </w:rPr>
        <w:t xml:space="preserve">After the incubation is complete, remove the plates from the incubator and measure the </w:t>
      </w:r>
      <w:r w:rsidR="00293A05">
        <w:rPr>
          <w:lang w:val="en-GB"/>
        </w:rPr>
        <w:t>MIC, where the edge of the inhibition ellipse interests the side of the strip</w:t>
      </w:r>
      <w:r w:rsidR="00FD0805">
        <w:rPr>
          <w:lang w:val="en-GB"/>
        </w:rPr>
        <w:t xml:space="preserve"> (see Appendix 1)</w:t>
      </w:r>
      <w:r w:rsidR="00293A05">
        <w:rPr>
          <w:lang w:val="en-GB"/>
        </w:rPr>
        <w:t>.</w:t>
      </w:r>
    </w:p>
    <w:p w:rsidR="00293A05" w:rsidRDefault="00FD0805" w:rsidP="00293A05">
      <w:pPr>
        <w:pStyle w:val="ListParagraph"/>
        <w:numPr>
          <w:ilvl w:val="0"/>
          <w:numId w:val="13"/>
        </w:numPr>
        <w:rPr>
          <w:lang w:val="en-GB"/>
        </w:rPr>
      </w:pPr>
      <w:r>
        <w:rPr>
          <w:lang w:val="en-GB"/>
        </w:rPr>
        <w:t xml:space="preserve">If </w:t>
      </w:r>
      <w:r w:rsidR="00293A05">
        <w:rPr>
          <w:lang w:val="en-GB"/>
        </w:rPr>
        <w:t>there is growth all along the strip and no visible ellipse, record the MIC as greater than (&gt;) the highest value on the scale</w:t>
      </w:r>
    </w:p>
    <w:p w:rsidR="00293A05" w:rsidRDefault="00293A05" w:rsidP="00293A05">
      <w:pPr>
        <w:pStyle w:val="ListParagraph"/>
        <w:numPr>
          <w:ilvl w:val="0"/>
          <w:numId w:val="13"/>
        </w:numPr>
        <w:rPr>
          <w:lang w:val="en-GB"/>
        </w:rPr>
      </w:pPr>
      <w:r>
        <w:rPr>
          <w:lang w:val="en-GB"/>
        </w:rPr>
        <w:t>If the inhibition ellipse i</w:t>
      </w:r>
      <w:r w:rsidR="00FD0805">
        <w:rPr>
          <w:lang w:val="en-GB"/>
        </w:rPr>
        <w:t>s</w:t>
      </w:r>
      <w:r>
        <w:rPr>
          <w:lang w:val="en-GB"/>
        </w:rPr>
        <w:t xml:space="preserve"> below the strip, then report </w:t>
      </w:r>
      <w:r w:rsidR="00FD0805">
        <w:rPr>
          <w:lang w:val="en-GB"/>
        </w:rPr>
        <w:t>the MIC as less than (&lt;) the lowest value on the scale.</w:t>
      </w:r>
    </w:p>
    <w:p w:rsidR="00FD0805" w:rsidRDefault="00FD0805" w:rsidP="00293A05">
      <w:pPr>
        <w:pStyle w:val="ListParagraph"/>
        <w:numPr>
          <w:ilvl w:val="0"/>
          <w:numId w:val="13"/>
        </w:numPr>
        <w:rPr>
          <w:lang w:val="en-GB"/>
        </w:rPr>
      </w:pPr>
      <w:r>
        <w:rPr>
          <w:lang w:val="en-GB"/>
        </w:rPr>
        <w:t>For bactericidal drugs (e.g. beta-lactams), read the MIC at the point of complete inhibition of all growth including hazes, micro-colonies, and isolated colonies. Tilt the plate and use a magnifying glass if necessary.</w:t>
      </w:r>
    </w:p>
    <w:p w:rsidR="00FD0805" w:rsidRDefault="00FD0805" w:rsidP="00293A05">
      <w:pPr>
        <w:pStyle w:val="ListParagraph"/>
        <w:numPr>
          <w:ilvl w:val="0"/>
          <w:numId w:val="13"/>
        </w:numPr>
        <w:rPr>
          <w:lang w:val="en-GB"/>
        </w:rPr>
      </w:pPr>
      <w:r>
        <w:rPr>
          <w:lang w:val="en-GB"/>
        </w:rPr>
        <w:t>For bacteriostatic drugs (e.g. co-trimoxazole), read the 80% inhibition end-point: this is the first point of significant inhibition as judged by the naked eye.</w:t>
      </w:r>
    </w:p>
    <w:p w:rsidR="0065375F" w:rsidRPr="00754593" w:rsidRDefault="0065375F" w:rsidP="00293A05">
      <w:pPr>
        <w:pStyle w:val="ListParagraph"/>
        <w:numPr>
          <w:ilvl w:val="0"/>
          <w:numId w:val="13"/>
        </w:numPr>
        <w:rPr>
          <w:lang w:val="en-GB"/>
        </w:rPr>
      </w:pPr>
      <w:r w:rsidRPr="00754593">
        <w:rPr>
          <w:lang w:val="en-GB"/>
        </w:rPr>
        <w:t xml:space="preserve">When measuring zones on Mueller-Hinton plates with blood, the </w:t>
      </w:r>
      <w:r w:rsidR="00FD0805">
        <w:rPr>
          <w:lang w:val="en-GB"/>
        </w:rPr>
        <w:t>zone of growth inhibition</w:t>
      </w:r>
      <w:r w:rsidRPr="00754593">
        <w:rPr>
          <w:lang w:val="en-GB"/>
        </w:rPr>
        <w:t xml:space="preserve"> should be measured NOT the zone of haemolysis inhibition. The zones should be measured from the upper surface of the agar, illuminated with reflected light, with the cover removed.</w:t>
      </w:r>
    </w:p>
    <w:p w:rsidR="0065375F" w:rsidRDefault="0065375F" w:rsidP="0065375F">
      <w:pPr>
        <w:pStyle w:val="ListParagraph"/>
        <w:numPr>
          <w:ilvl w:val="0"/>
          <w:numId w:val="13"/>
        </w:numPr>
        <w:rPr>
          <w:lang w:val="en-GB"/>
        </w:rPr>
      </w:pPr>
      <w:r w:rsidRPr="00754593">
        <w:rPr>
          <w:lang w:val="en-GB"/>
        </w:rPr>
        <w:t>The growth on the plates must be even and near confluent. If there are only isolated colonies</w:t>
      </w:r>
      <w:r w:rsidR="00FD0805">
        <w:rPr>
          <w:lang w:val="en-GB"/>
        </w:rPr>
        <w:t>, or a mixed growth</w:t>
      </w:r>
      <w:r w:rsidRPr="00754593">
        <w:rPr>
          <w:lang w:val="en-GB"/>
        </w:rPr>
        <w:t>, the test must be repeated.</w:t>
      </w:r>
    </w:p>
    <w:p w:rsidR="00FD0805" w:rsidRDefault="007D7054" w:rsidP="00FD0805">
      <w:pPr>
        <w:pStyle w:val="ListParagraph"/>
        <w:numPr>
          <w:ilvl w:val="0"/>
          <w:numId w:val="10"/>
        </w:numPr>
        <w:rPr>
          <w:lang w:val="en-GB"/>
        </w:rPr>
      </w:pPr>
      <w:r>
        <w:rPr>
          <w:lang w:val="en-GB"/>
        </w:rPr>
        <w:t>An Etest value which falls between two-fold MIC values (</w:t>
      </w:r>
      <w:r w:rsidR="00807606">
        <w:rPr>
          <w:lang w:val="en-GB"/>
        </w:rPr>
        <w:t xml:space="preserve">i.e. </w:t>
      </w:r>
      <w:r>
        <w:rPr>
          <w:lang w:val="en-GB"/>
        </w:rPr>
        <w:t>0.06, 0.12, 0.25, 0.5, 1, 2, 4, 8, 16, 32, 64, 128, 256</w:t>
      </w:r>
      <w:r w:rsidR="00B51C3A">
        <w:rPr>
          <w:lang w:val="en-GB"/>
        </w:rPr>
        <w:t>µg/ml</w:t>
      </w:r>
      <w:r>
        <w:rPr>
          <w:lang w:val="en-GB"/>
        </w:rPr>
        <w:t xml:space="preserve"> etc</w:t>
      </w:r>
      <w:r w:rsidR="00D32739">
        <w:rPr>
          <w:lang w:val="en-GB"/>
        </w:rPr>
        <w:t>.</w:t>
      </w:r>
      <w:r>
        <w:rPr>
          <w:lang w:val="en-GB"/>
        </w:rPr>
        <w:t>) on the strip should be rounded-up to the next two-fold value before categorization.</w:t>
      </w:r>
    </w:p>
    <w:p w:rsidR="007D7054" w:rsidRPr="00FD0805" w:rsidRDefault="003174CA" w:rsidP="007D7054">
      <w:pPr>
        <w:pStyle w:val="ListParagraph"/>
        <w:numPr>
          <w:ilvl w:val="0"/>
          <w:numId w:val="18"/>
        </w:numPr>
        <w:rPr>
          <w:lang w:val="en-GB"/>
        </w:rPr>
      </w:pPr>
      <w:r>
        <w:rPr>
          <w:lang w:val="en-GB"/>
        </w:rPr>
        <w:t>For example,</w:t>
      </w:r>
      <w:r w:rsidR="007D7054">
        <w:rPr>
          <w:lang w:val="en-GB"/>
        </w:rPr>
        <w:t xml:space="preserve"> a pneumococcal isolate</w:t>
      </w:r>
      <w:r>
        <w:rPr>
          <w:lang w:val="en-GB"/>
        </w:rPr>
        <w:t xml:space="preserve"> with an Etest MIC of 0.094</w:t>
      </w:r>
      <w:r w:rsidR="00B51C3A">
        <w:rPr>
          <w:lang w:val="en-GB"/>
        </w:rPr>
        <w:t xml:space="preserve">µg/ml </w:t>
      </w:r>
      <w:r>
        <w:rPr>
          <w:lang w:val="en-GB"/>
        </w:rPr>
        <w:t>should be rounded up to 0.12</w:t>
      </w:r>
      <w:r w:rsidR="00B51C3A">
        <w:rPr>
          <w:lang w:val="en-GB"/>
        </w:rPr>
        <w:t xml:space="preserve">µg/ml </w:t>
      </w:r>
      <w:r>
        <w:rPr>
          <w:lang w:val="en-GB"/>
        </w:rPr>
        <w:t>before interpretation.</w:t>
      </w:r>
    </w:p>
    <w:p w:rsidR="0065375F" w:rsidRPr="00754593" w:rsidRDefault="0065375F" w:rsidP="0065375F">
      <w:pPr>
        <w:pStyle w:val="ListParagraph"/>
        <w:numPr>
          <w:ilvl w:val="0"/>
          <w:numId w:val="10"/>
        </w:numPr>
        <w:rPr>
          <w:lang w:val="en-GB"/>
        </w:rPr>
      </w:pPr>
      <w:r w:rsidRPr="00754593">
        <w:rPr>
          <w:lang w:val="en-GB"/>
        </w:rPr>
        <w:t xml:space="preserve">Compare the </w:t>
      </w:r>
      <w:r w:rsidR="00FD0805">
        <w:rPr>
          <w:lang w:val="en-GB"/>
        </w:rPr>
        <w:t>rounded-up</w:t>
      </w:r>
      <w:r w:rsidRPr="00754593">
        <w:rPr>
          <w:lang w:val="en-GB"/>
        </w:rPr>
        <w:t xml:space="preserve"> </w:t>
      </w:r>
      <w:r w:rsidR="003E25A8">
        <w:rPr>
          <w:lang w:val="en-GB"/>
        </w:rPr>
        <w:t>MIC</w:t>
      </w:r>
      <w:r w:rsidRPr="00754593">
        <w:rPr>
          <w:lang w:val="en-GB"/>
        </w:rPr>
        <w:t xml:space="preserve"> with that for the species and antibiotic combination in </w:t>
      </w:r>
      <w:r w:rsidR="0038078F">
        <w:rPr>
          <w:lang w:val="en-GB"/>
        </w:rPr>
        <w:t>SOP MIC-001</w:t>
      </w:r>
      <w:r w:rsidRPr="00754593">
        <w:rPr>
          <w:lang w:val="en-GB"/>
        </w:rPr>
        <w:t>.</w:t>
      </w:r>
      <w:r>
        <w:rPr>
          <w:lang w:val="en-GB"/>
        </w:rPr>
        <w:t xml:space="preserve"> </w:t>
      </w:r>
      <w:r w:rsidRPr="00754593">
        <w:rPr>
          <w:lang w:val="en-GB"/>
        </w:rPr>
        <w:t xml:space="preserve">Record the </w:t>
      </w:r>
      <w:r w:rsidR="003E25A8">
        <w:rPr>
          <w:lang w:val="en-GB"/>
        </w:rPr>
        <w:t>MIC</w:t>
      </w:r>
      <w:r w:rsidRPr="00754593">
        <w:rPr>
          <w:lang w:val="en-GB"/>
        </w:rPr>
        <w:t xml:space="preserve"> and the category taken from the table.</w:t>
      </w:r>
      <w:r>
        <w:rPr>
          <w:lang w:val="en-GB"/>
        </w:rPr>
        <w:t xml:space="preserve"> </w:t>
      </w:r>
      <w:r w:rsidRPr="00754593">
        <w:rPr>
          <w:lang w:val="en-GB"/>
        </w:rPr>
        <w:t xml:space="preserve">If the organism and </w:t>
      </w:r>
      <w:r w:rsidR="0038078F">
        <w:rPr>
          <w:lang w:val="en-GB"/>
        </w:rPr>
        <w:t>MIC</w:t>
      </w:r>
      <w:r w:rsidRPr="00754593">
        <w:rPr>
          <w:lang w:val="en-GB"/>
        </w:rPr>
        <w:t xml:space="preserve"> is not included in the table then refer to the CLSI documents for further information.</w:t>
      </w:r>
      <w:r>
        <w:rPr>
          <w:lang w:val="en-GB"/>
        </w:rPr>
        <w:t xml:space="preserve"> </w:t>
      </w:r>
      <w:r w:rsidRPr="00754593">
        <w:rPr>
          <w:lang w:val="en-GB"/>
        </w:rPr>
        <w:t>Results can usually be put into one of the categories below:</w:t>
      </w:r>
    </w:p>
    <w:p w:rsidR="0065375F" w:rsidRPr="00754593" w:rsidRDefault="0065375F" w:rsidP="0065375F">
      <w:pPr>
        <w:pStyle w:val="ListParagraph"/>
        <w:numPr>
          <w:ilvl w:val="0"/>
          <w:numId w:val="15"/>
        </w:numPr>
        <w:rPr>
          <w:b/>
          <w:lang w:val="en-GB"/>
        </w:rPr>
      </w:pPr>
      <w:r w:rsidRPr="00754593">
        <w:rPr>
          <w:b/>
          <w:lang w:val="en-GB"/>
        </w:rPr>
        <w:t xml:space="preserve">Susceptible (S) </w:t>
      </w:r>
      <w:r>
        <w:rPr>
          <w:lang w:val="en-GB"/>
        </w:rPr>
        <w:t>includes</w:t>
      </w:r>
      <w:r w:rsidRPr="00754593">
        <w:rPr>
          <w:lang w:val="en-GB"/>
        </w:rPr>
        <w:t xml:space="preserve"> isolates are inhibited by the usually achievable concentrations of antimicrobial agent when the dosage recommended to treat the site of infection is used.</w:t>
      </w:r>
    </w:p>
    <w:p w:rsidR="0065375F" w:rsidRPr="00754593" w:rsidRDefault="0065375F" w:rsidP="0065375F">
      <w:pPr>
        <w:pStyle w:val="ListParagraph"/>
        <w:numPr>
          <w:ilvl w:val="0"/>
          <w:numId w:val="15"/>
        </w:numPr>
        <w:rPr>
          <w:b/>
          <w:lang w:val="en-GB"/>
        </w:rPr>
      </w:pPr>
      <w:r w:rsidRPr="00754593">
        <w:rPr>
          <w:b/>
          <w:lang w:val="en-GB"/>
        </w:rPr>
        <w:t xml:space="preserve">Intermediate (I) </w:t>
      </w:r>
      <w:r w:rsidRPr="00754593">
        <w:rPr>
          <w:lang w:val="en-GB"/>
        </w:rPr>
        <w:t xml:space="preserve">includes isolates with antimicrobial agent MICs that approach usually attainable blood and tissue levels, and for which response rates may be lower than for susceptible isolates. The intermediate category implies clinical efficacy in body sites where the drugs are physiologically concentrated (e.g. quinolones and </w:t>
      </w:r>
      <w:r w:rsidRPr="00754593">
        <w:rPr>
          <w:lang w:val="en-GB"/>
        </w:rPr>
        <w:sym w:font="Symbol" w:char="F062"/>
      </w:r>
      <w:r w:rsidRPr="00754593">
        <w:rPr>
          <w:lang w:val="en-GB"/>
        </w:rPr>
        <w:t xml:space="preserve">-lactams in urine) or when a higher than normal dosage of a drug can be used (e.g. </w:t>
      </w:r>
      <w:r w:rsidRPr="00754593">
        <w:rPr>
          <w:lang w:val="en-GB"/>
        </w:rPr>
        <w:sym w:font="Symbol" w:char="F062"/>
      </w:r>
      <w:r w:rsidRPr="00754593">
        <w:rPr>
          <w:lang w:val="en-GB"/>
        </w:rPr>
        <w:t>-lactams). The “intermediate” category also includes a “buffer zone” which should prevent small, uncontrolled technical factors from causing major discrepancies in interpretation, especially for drugs with narrow pharmacotoxicity margins.</w:t>
      </w:r>
    </w:p>
    <w:p w:rsidR="0065375F" w:rsidRPr="00754593" w:rsidRDefault="0065375F" w:rsidP="0065375F">
      <w:pPr>
        <w:pStyle w:val="ListParagraph"/>
        <w:numPr>
          <w:ilvl w:val="0"/>
          <w:numId w:val="15"/>
        </w:numPr>
        <w:rPr>
          <w:b/>
          <w:lang w:val="en-GB"/>
        </w:rPr>
      </w:pPr>
      <w:r w:rsidRPr="00754593">
        <w:rPr>
          <w:b/>
          <w:lang w:val="en-GB"/>
        </w:rPr>
        <w:t xml:space="preserve">Resistant (R) </w:t>
      </w:r>
      <w:r>
        <w:rPr>
          <w:lang w:val="en-GB"/>
        </w:rPr>
        <w:t>includes</w:t>
      </w:r>
      <w:r w:rsidRPr="00754593">
        <w:rPr>
          <w:lang w:val="en-GB"/>
        </w:rPr>
        <w:t xml:space="preserve"> isolates that are not inhibited by the usually achievable concentrations of the agent with normal dosage schedules and/or that demonstrate MICs or zone diameters that fall in the range where specific microbial resistance mechanisms are likely (e.g. </w:t>
      </w:r>
      <w:r w:rsidRPr="00754593">
        <w:rPr>
          <w:lang w:val="en-GB"/>
        </w:rPr>
        <w:sym w:font="Symbol" w:char="F062"/>
      </w:r>
      <w:r w:rsidRPr="00754593">
        <w:rPr>
          <w:lang w:val="en-GB"/>
        </w:rPr>
        <w:t>-lactamases) and clinical efficacy of the agent against the isolate has not been reliably shown in treatment studies.</w:t>
      </w:r>
    </w:p>
    <w:p w:rsidR="0065375F" w:rsidRDefault="0065375F" w:rsidP="0065375F">
      <w:pPr>
        <w:pStyle w:val="ListParagraph"/>
        <w:numPr>
          <w:ilvl w:val="0"/>
          <w:numId w:val="15"/>
        </w:numPr>
        <w:rPr>
          <w:lang w:val="en-GB"/>
        </w:rPr>
      </w:pPr>
      <w:r w:rsidRPr="00754593">
        <w:rPr>
          <w:b/>
          <w:lang w:val="en-GB"/>
        </w:rPr>
        <w:t xml:space="preserve">Nonsusceptible (NS) </w:t>
      </w:r>
      <w:r w:rsidRPr="00754593">
        <w:rPr>
          <w:lang w:val="en-GB"/>
        </w:rPr>
        <w:t xml:space="preserve">is used for isolates for which only a susceptible interpretative criterion has been designated because of the absence or rare occurrence of resistant strains. Isolates that have MICs above the value indicated for the susceptible breakpoint should be reported as nonsusceptible. This does not necessarily mean that the isolate has a resistance mechanism: it is possible that isolates with MICs above the susceptible breakpoint that lack resistance mechanisms may be encountered within the wild-type distribution after the susceptible only breakpoint is set. </w:t>
      </w:r>
    </w:p>
    <w:p w:rsidR="00BF4A7B" w:rsidRPr="00983F5B" w:rsidRDefault="00BF4A7B" w:rsidP="00BF4A7B">
      <w:pPr>
        <w:pStyle w:val="Heading1"/>
        <w:rPr>
          <w:lang w:val="en-GB"/>
        </w:rPr>
      </w:pPr>
      <w:r w:rsidRPr="00983F5B">
        <w:rPr>
          <w:lang w:val="en-GB"/>
        </w:rPr>
        <w:t>Quality assurance</w:t>
      </w:r>
    </w:p>
    <w:p w:rsidR="00CD23B3" w:rsidRPr="00754593" w:rsidRDefault="00CD23B3" w:rsidP="00CD23B3">
      <w:pPr>
        <w:rPr>
          <w:lang w:val="en-GB"/>
        </w:rPr>
      </w:pPr>
      <w:r w:rsidRPr="00754593">
        <w:rPr>
          <w:lang w:val="en-GB"/>
        </w:rPr>
        <w:t xml:space="preserve">Regular testing of the correct quality control strains is essential to provide assurance that the media and </w:t>
      </w:r>
      <w:r>
        <w:rPr>
          <w:lang w:val="en-GB"/>
        </w:rPr>
        <w:t>Etests</w:t>
      </w:r>
      <w:r w:rsidRPr="00754593">
        <w:rPr>
          <w:lang w:val="en-GB"/>
        </w:rPr>
        <w:t xml:space="preserve"> being used most frequently are performing satisfactorily.</w:t>
      </w:r>
      <w:r>
        <w:rPr>
          <w:lang w:val="en-GB"/>
        </w:rPr>
        <w:t xml:space="preserve"> </w:t>
      </w:r>
      <w:r w:rsidRPr="00754593">
        <w:rPr>
          <w:lang w:val="en-GB"/>
        </w:rPr>
        <w:t xml:space="preserve">Test the organisms and agents shown in </w:t>
      </w:r>
      <w:r w:rsidR="00C05303">
        <w:rPr>
          <w:lang w:val="en-GB"/>
        </w:rPr>
        <w:t>Appendix 1</w:t>
      </w:r>
      <w:r>
        <w:rPr>
          <w:lang w:val="en-GB"/>
        </w:rPr>
        <w:t xml:space="preserve"> every month (preferably on the</w:t>
      </w:r>
      <w:r w:rsidRPr="00754593">
        <w:rPr>
          <w:lang w:val="en-GB"/>
        </w:rPr>
        <w:t xml:space="preserve"> </w:t>
      </w:r>
      <w:r>
        <w:rPr>
          <w:lang w:val="en-GB"/>
        </w:rPr>
        <w:t xml:space="preserve">first </w:t>
      </w:r>
      <w:r w:rsidRPr="00754593">
        <w:rPr>
          <w:lang w:val="en-GB"/>
        </w:rPr>
        <w:t xml:space="preserve">Monday) and record the results on </w:t>
      </w:r>
      <w:r w:rsidR="00C05303">
        <w:rPr>
          <w:lang w:val="en-GB"/>
        </w:rPr>
        <w:t>the worksheet</w:t>
      </w:r>
      <w:r w:rsidRPr="00754593">
        <w:rPr>
          <w:lang w:val="en-GB"/>
        </w:rPr>
        <w:t>.</w:t>
      </w:r>
      <w:r>
        <w:rPr>
          <w:lang w:val="en-GB"/>
        </w:rPr>
        <w:t xml:space="preserve"> </w:t>
      </w:r>
      <w:r w:rsidRPr="00754593">
        <w:rPr>
          <w:lang w:val="en-GB"/>
        </w:rPr>
        <w:t>If any of the results fall outside the ranges given on the sheets, inform the Laboratory Manager.</w:t>
      </w:r>
      <w:r>
        <w:rPr>
          <w:lang w:val="en-GB"/>
        </w:rPr>
        <w:t xml:space="preserve"> </w:t>
      </w:r>
      <w:r w:rsidRPr="00754593">
        <w:rPr>
          <w:lang w:val="en-GB"/>
        </w:rPr>
        <w:t>If testing an unusual antibiotic which is not on this list, check the relevant CLSI documents and perform relevant quality control at the same time as doing the test.</w:t>
      </w:r>
    </w:p>
    <w:p w:rsidR="00BF4A7B" w:rsidRPr="00983F5B" w:rsidRDefault="00BF4A7B" w:rsidP="00BF4A7B">
      <w:pPr>
        <w:pStyle w:val="Heading1"/>
        <w:rPr>
          <w:lang w:val="en-GB"/>
        </w:rPr>
      </w:pPr>
      <w:r w:rsidRPr="00983F5B">
        <w:rPr>
          <w:lang w:val="en-GB"/>
        </w:rPr>
        <w:t>Limitations</w:t>
      </w:r>
    </w:p>
    <w:p w:rsidR="003E25A8" w:rsidRPr="00754593" w:rsidRDefault="003E25A8" w:rsidP="003E25A8">
      <w:pPr>
        <w:rPr>
          <w:lang w:val="en-GB"/>
        </w:rPr>
      </w:pPr>
      <w:r w:rsidRPr="00754593">
        <w:rPr>
          <w:lang w:val="en-GB"/>
        </w:rPr>
        <w:t xml:space="preserve">Although the quality control carried out during manufacture of </w:t>
      </w:r>
      <w:r>
        <w:rPr>
          <w:lang w:val="en-GB"/>
        </w:rPr>
        <w:t>Etests</w:t>
      </w:r>
      <w:r w:rsidRPr="00754593">
        <w:rPr>
          <w:lang w:val="en-GB"/>
        </w:rPr>
        <w:t xml:space="preserve"> is usually of a high standard, </w:t>
      </w:r>
      <w:r>
        <w:rPr>
          <w:lang w:val="en-GB"/>
        </w:rPr>
        <w:t>antimicrobial</w:t>
      </w:r>
      <w:r w:rsidRPr="00754593">
        <w:rPr>
          <w:lang w:val="en-GB"/>
        </w:rPr>
        <w:t xml:space="preserve"> content may deteriorate during storage. This is one reason why regular quality control is essential. Correct storage </w:t>
      </w:r>
      <w:r w:rsidR="002B171B" w:rsidRPr="00754593">
        <w:rPr>
          <w:lang w:val="en-GB"/>
        </w:rPr>
        <w:t xml:space="preserve">at -20°C </w:t>
      </w:r>
      <w:r w:rsidRPr="00754593">
        <w:rPr>
          <w:lang w:val="en-GB"/>
        </w:rPr>
        <w:t xml:space="preserve">and rotation of </w:t>
      </w:r>
      <w:r>
        <w:rPr>
          <w:lang w:val="en-GB"/>
        </w:rPr>
        <w:t xml:space="preserve">Etest </w:t>
      </w:r>
      <w:r w:rsidRPr="00754593">
        <w:rPr>
          <w:lang w:val="en-GB"/>
        </w:rPr>
        <w:t xml:space="preserve">stocks is essential to maintain this quality. The oldest </w:t>
      </w:r>
      <w:r w:rsidR="002B171B">
        <w:rPr>
          <w:lang w:val="en-GB"/>
        </w:rPr>
        <w:t>Etest</w:t>
      </w:r>
      <w:r w:rsidRPr="00754593">
        <w:rPr>
          <w:lang w:val="en-GB"/>
        </w:rPr>
        <w:t xml:space="preserve">s must be used first and always before their expiry date. </w:t>
      </w:r>
    </w:p>
    <w:p w:rsidR="003E25A8" w:rsidRPr="00754593" w:rsidRDefault="003E25A8" w:rsidP="003E25A8">
      <w:pPr>
        <w:rPr>
          <w:lang w:val="en-GB"/>
        </w:rPr>
      </w:pPr>
      <w:r w:rsidRPr="00754593">
        <w:rPr>
          <w:lang w:val="en-GB"/>
        </w:rPr>
        <w:t>Tests on mixed cultures (as judged by different zone patterns or colonial types) may be unreliable and should be repeated.</w:t>
      </w:r>
    </w:p>
    <w:p w:rsidR="003E25A8" w:rsidRPr="00754593" w:rsidRDefault="003E25A8" w:rsidP="003E25A8">
      <w:pPr>
        <w:rPr>
          <w:lang w:val="en-GB"/>
        </w:rPr>
      </w:pPr>
      <w:r w:rsidRPr="00754593">
        <w:rPr>
          <w:lang w:val="en-GB"/>
        </w:rPr>
        <w:t xml:space="preserve">There are a number of characteristics of particular organisms that mean that their zones must be read and interpreted with caution. It is difficult to list all of these but some of the commoner issues that can cause problems are </w:t>
      </w:r>
      <w:r w:rsidR="00160641">
        <w:rPr>
          <w:lang w:val="en-GB"/>
        </w:rPr>
        <w:t>demonstrated in Appendix 2</w:t>
      </w:r>
      <w:r w:rsidRPr="00754593">
        <w:rPr>
          <w:lang w:val="en-GB"/>
        </w:rPr>
        <w:t>.</w:t>
      </w:r>
    </w:p>
    <w:p w:rsidR="00BF4A7B" w:rsidRDefault="00BF4A7B" w:rsidP="002C7079">
      <w:pPr>
        <w:pStyle w:val="Heading1"/>
        <w:rPr>
          <w:lang w:val="en-GB"/>
        </w:rPr>
      </w:pPr>
      <w:r w:rsidRPr="00983F5B">
        <w:rPr>
          <w:lang w:val="en-GB"/>
        </w:rPr>
        <w:t>References</w:t>
      </w:r>
    </w:p>
    <w:p w:rsidR="00716B02" w:rsidRPr="00716B02" w:rsidRDefault="002C7079" w:rsidP="00716B02">
      <w:pPr>
        <w:pStyle w:val="ListParagraph"/>
        <w:numPr>
          <w:ilvl w:val="0"/>
          <w:numId w:val="19"/>
        </w:numPr>
        <w:rPr>
          <w:rStyle w:val="A3"/>
          <w:rFonts w:cs="Arial"/>
          <w:color w:val="auto"/>
          <w:sz w:val="24"/>
          <w:szCs w:val="24"/>
          <w:lang w:val="en-GB"/>
        </w:rPr>
      </w:pPr>
      <w:r w:rsidRPr="007842A0">
        <w:rPr>
          <w:szCs w:val="24"/>
          <w:lang w:val="en-GB"/>
        </w:rPr>
        <w:t xml:space="preserve">Etest </w:t>
      </w:r>
      <w:r w:rsidR="007842A0" w:rsidRPr="007842A0">
        <w:rPr>
          <w:szCs w:val="24"/>
          <w:lang w:val="en-GB"/>
        </w:rPr>
        <w:t>Package Insert</w:t>
      </w:r>
      <w:r w:rsidR="007842A0" w:rsidRPr="007842A0">
        <w:rPr>
          <w:szCs w:val="24"/>
        </w:rPr>
        <w:t xml:space="preserve"> (</w:t>
      </w:r>
      <w:r w:rsidR="007842A0" w:rsidRPr="00716B02">
        <w:rPr>
          <w:rStyle w:val="A3"/>
          <w:sz w:val="24"/>
          <w:szCs w:val="24"/>
        </w:rPr>
        <w:t>9302553</w:t>
      </w:r>
      <w:r w:rsidR="00716B02">
        <w:rPr>
          <w:rStyle w:val="A3"/>
          <w:rFonts w:cs="FormataBQ-Bold"/>
          <w:sz w:val="24"/>
          <w:szCs w:val="24"/>
        </w:rPr>
        <w:t xml:space="preserve">C </w:t>
      </w:r>
      <w:r w:rsidR="00716B02">
        <w:rPr>
          <w:rStyle w:val="A3"/>
          <w:sz w:val="24"/>
          <w:szCs w:val="24"/>
        </w:rPr>
        <w:t xml:space="preserve">– </w:t>
      </w:r>
      <w:r w:rsidR="007842A0" w:rsidRPr="00716B02">
        <w:rPr>
          <w:rStyle w:val="A3"/>
          <w:sz w:val="24"/>
          <w:szCs w:val="24"/>
        </w:rPr>
        <w:t xml:space="preserve">2012/01). </w:t>
      </w:r>
      <w:proofErr w:type="gramStart"/>
      <w:r w:rsidR="007842A0" w:rsidRPr="00716B02">
        <w:rPr>
          <w:rStyle w:val="A3"/>
          <w:sz w:val="24"/>
          <w:szCs w:val="24"/>
        </w:rPr>
        <w:t>bioMerieux</w:t>
      </w:r>
      <w:proofErr w:type="gramEnd"/>
      <w:r w:rsidR="007842A0" w:rsidRPr="00716B02">
        <w:rPr>
          <w:rStyle w:val="A3"/>
          <w:sz w:val="24"/>
          <w:szCs w:val="24"/>
        </w:rPr>
        <w:t xml:space="preserve"> 2012.</w:t>
      </w:r>
    </w:p>
    <w:p w:rsidR="00716B02" w:rsidRPr="00716B02" w:rsidRDefault="00716B02" w:rsidP="00716B02">
      <w:pPr>
        <w:pStyle w:val="ListParagraph"/>
        <w:numPr>
          <w:ilvl w:val="0"/>
          <w:numId w:val="19"/>
        </w:numPr>
        <w:rPr>
          <w:szCs w:val="24"/>
          <w:lang w:val="en-GB"/>
        </w:rPr>
        <w:sectPr w:rsidR="00716B02" w:rsidRPr="00716B02" w:rsidSect="006C64AF">
          <w:headerReference w:type="default" r:id="rId10"/>
          <w:pgSz w:w="12240" w:h="15840"/>
          <w:pgMar w:top="1440" w:right="1800" w:bottom="1440" w:left="1800" w:header="708" w:footer="708" w:gutter="0"/>
          <w:cols w:space="708"/>
          <w:docGrid w:linePitch="326"/>
        </w:sectPr>
      </w:pPr>
      <w:r>
        <w:rPr>
          <w:rStyle w:val="A3"/>
          <w:sz w:val="24"/>
          <w:szCs w:val="24"/>
        </w:rPr>
        <w:t xml:space="preserve">Etest Performance, Interpretive Criteria and QC Ranges (15211E – 2012/03). </w:t>
      </w:r>
      <w:proofErr w:type="gramStart"/>
      <w:r>
        <w:rPr>
          <w:rStyle w:val="A3"/>
          <w:sz w:val="24"/>
          <w:szCs w:val="24"/>
        </w:rPr>
        <w:t>bioMerieux</w:t>
      </w:r>
      <w:proofErr w:type="gramEnd"/>
      <w:r>
        <w:rPr>
          <w:rStyle w:val="A3"/>
          <w:sz w:val="24"/>
          <w:szCs w:val="24"/>
        </w:rPr>
        <w:t xml:space="preserve"> 2012.</w:t>
      </w:r>
    </w:p>
    <w:p w:rsidR="00B424F6" w:rsidRPr="00983F5B" w:rsidRDefault="00BF4A7B" w:rsidP="00BF4A7B">
      <w:pPr>
        <w:pStyle w:val="Heading1"/>
        <w:rPr>
          <w:lang w:val="en-GB"/>
        </w:rPr>
      </w:pPr>
      <w:r w:rsidRPr="00983F5B">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983F5B"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983F5B" w:rsidRDefault="009E0BD9" w:rsidP="004C4C4B">
            <w:pPr>
              <w:widowControl w:val="0"/>
              <w:autoSpaceDE w:val="0"/>
              <w:autoSpaceDN w:val="0"/>
              <w:adjustRightInd w:val="0"/>
              <w:spacing w:after="0" w:line="240" w:lineRule="auto"/>
              <w:jc w:val="center"/>
              <w:rPr>
                <w:rFonts w:ascii="Century Gothic" w:eastAsia="Times New Roman" w:hAnsi="Century Gothic"/>
                <w:b/>
                <w:color w:val="0D0D0D" w:themeColor="text1" w:themeTint="F2"/>
                <w:szCs w:val="24"/>
                <w:lang w:val="en-GB"/>
              </w:rPr>
            </w:pPr>
            <w:r w:rsidRPr="00983F5B">
              <w:rPr>
                <w:rFonts w:eastAsia="Times New Roman"/>
                <w:color w:val="0D0D0D" w:themeColor="text1" w:themeTint="F2"/>
                <w:szCs w:val="24"/>
                <w:lang w:val="en-GB"/>
              </w:rPr>
              <w:br w:type="page"/>
            </w:r>
            <w:r w:rsidRPr="00983F5B">
              <w:rPr>
                <w:rFonts w:ascii="Century Gothic" w:eastAsia="Times New Roman" w:hAnsi="Century Gothic"/>
                <w:b/>
                <w:color w:val="0D0D0D" w:themeColor="text1" w:themeTint="F2"/>
                <w:szCs w:val="24"/>
                <w:lang w:val="en-GB"/>
              </w:rPr>
              <w:t>COSHH risk assessment - University of Oxford COSHH Assessment Form</w:t>
            </w:r>
          </w:p>
        </w:tc>
      </w:tr>
      <w:tr w:rsidR="009E0BD9" w:rsidRPr="00983F5B" w:rsidTr="007A5E14">
        <w:trPr>
          <w:trHeight w:val="524"/>
          <w:jc w:val="center"/>
        </w:trPr>
        <w:tc>
          <w:tcPr>
            <w:tcW w:w="4111" w:type="dxa"/>
            <w:tcBorders>
              <w:top w:val="single" w:sz="12" w:space="0" w:color="auto"/>
              <w:left w:val="single" w:sz="12" w:space="0" w:color="auto"/>
            </w:tcBorders>
          </w:tcPr>
          <w:p w:rsidR="009E0BD9" w:rsidRPr="00983F5B" w:rsidRDefault="009E0BD9" w:rsidP="004C4C4B">
            <w:pPr>
              <w:spacing w:after="0" w:line="240" w:lineRule="auto"/>
              <w:jc w:val="left"/>
              <w:rPr>
                <w:rFonts w:ascii="Century Gothic" w:hAnsi="Century Gothic"/>
                <w:b/>
                <w:bCs/>
                <w:szCs w:val="24"/>
                <w:lang w:val="en-GB" w:bidi="x-none"/>
              </w:rPr>
            </w:pPr>
            <w:r w:rsidRPr="00983F5B">
              <w:rPr>
                <w:rFonts w:ascii="Century Gothic" w:hAnsi="Century Gothic"/>
                <w:b/>
                <w:bCs/>
                <w:szCs w:val="24"/>
                <w:lang w:val="en-GB" w:bidi="x-none"/>
              </w:rPr>
              <w:t>Description of procedure</w:t>
            </w:r>
          </w:p>
          <w:p w:rsidR="009E0BD9" w:rsidRPr="00983F5B" w:rsidRDefault="00602CB9" w:rsidP="004C4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zCs w:val="24"/>
                <w:lang w:val="en-GB" w:bidi="x-none"/>
              </w:rPr>
            </w:pPr>
            <w:r w:rsidRPr="00754593">
              <w:rPr>
                <w:szCs w:val="24"/>
                <w:lang w:val="en-GB" w:bidi="x-none"/>
              </w:rPr>
              <w:t xml:space="preserve">Determination of bacterial antimicrobial susceptibilities by </w:t>
            </w:r>
            <w:r>
              <w:rPr>
                <w:szCs w:val="24"/>
                <w:lang w:val="en-GB" w:bidi="x-none"/>
              </w:rPr>
              <w:t>Etest</w:t>
            </w:r>
          </w:p>
        </w:tc>
        <w:tc>
          <w:tcPr>
            <w:tcW w:w="4679" w:type="dxa"/>
            <w:tcBorders>
              <w:top w:val="single" w:sz="12" w:space="0" w:color="auto"/>
              <w:left w:val="single" w:sz="6" w:space="0" w:color="auto"/>
              <w:right w:val="single" w:sz="12" w:space="0" w:color="auto"/>
            </w:tcBorders>
          </w:tcPr>
          <w:p w:rsidR="009E0BD9" w:rsidRPr="00983F5B" w:rsidRDefault="009E0BD9" w:rsidP="004C4C4B">
            <w:pPr>
              <w:spacing w:after="0" w:line="240" w:lineRule="auto"/>
              <w:jc w:val="left"/>
              <w:rPr>
                <w:rFonts w:ascii="Century Gothic" w:hAnsi="Century Gothic"/>
                <w:b/>
                <w:bCs/>
                <w:szCs w:val="24"/>
                <w:lang w:val="en-GB" w:bidi="x-none"/>
              </w:rPr>
            </w:pPr>
            <w:r w:rsidRPr="00983F5B">
              <w:rPr>
                <w:rFonts w:ascii="Century Gothic" w:hAnsi="Century Gothic"/>
                <w:b/>
                <w:bCs/>
                <w:szCs w:val="24"/>
                <w:lang w:val="en-GB" w:bidi="x-none"/>
              </w:rPr>
              <w:t>Substances used</w:t>
            </w:r>
          </w:p>
          <w:p w:rsidR="00602CB9" w:rsidRPr="00754593" w:rsidRDefault="00602CB9" w:rsidP="00602CB9">
            <w:pPr>
              <w:spacing w:after="0" w:line="240" w:lineRule="auto"/>
              <w:jc w:val="left"/>
              <w:rPr>
                <w:szCs w:val="24"/>
                <w:lang w:val="en-GB" w:bidi="x-none"/>
              </w:rPr>
            </w:pPr>
            <w:r w:rsidRPr="00754593">
              <w:rPr>
                <w:szCs w:val="24"/>
                <w:lang w:val="en-GB" w:bidi="x-none"/>
              </w:rPr>
              <w:t>1. Cultured bacteria</w:t>
            </w:r>
          </w:p>
          <w:p w:rsidR="009E0BD9" w:rsidRPr="00983F5B" w:rsidRDefault="00602CB9" w:rsidP="00602CB9">
            <w:pPr>
              <w:spacing w:after="0" w:line="240" w:lineRule="auto"/>
              <w:jc w:val="left"/>
              <w:rPr>
                <w:szCs w:val="24"/>
                <w:lang w:val="en-GB" w:bidi="x-none"/>
              </w:rPr>
            </w:pPr>
            <w:r w:rsidRPr="00754593">
              <w:rPr>
                <w:szCs w:val="24"/>
                <w:lang w:val="en-GB" w:bidi="x-none"/>
              </w:rPr>
              <w:t xml:space="preserve">2. </w:t>
            </w:r>
            <w:r>
              <w:rPr>
                <w:szCs w:val="24"/>
                <w:lang w:val="en-GB" w:bidi="x-none"/>
              </w:rPr>
              <w:t xml:space="preserve">Antimicrobial impregnated </w:t>
            </w:r>
            <w:r w:rsidRPr="00754593">
              <w:rPr>
                <w:szCs w:val="24"/>
                <w:lang w:val="en-GB" w:bidi="x-none"/>
              </w:rPr>
              <w:t>Etest strips</w:t>
            </w:r>
          </w:p>
        </w:tc>
      </w:tr>
      <w:tr w:rsidR="009E0BD9" w:rsidRPr="00983F5B" w:rsidTr="007A5E14">
        <w:trPr>
          <w:trHeight w:val="350"/>
          <w:jc w:val="center"/>
        </w:trPr>
        <w:tc>
          <w:tcPr>
            <w:tcW w:w="4111" w:type="dxa"/>
            <w:tcBorders>
              <w:top w:val="single" w:sz="6" w:space="0" w:color="auto"/>
              <w:left w:val="single" w:sz="12" w:space="0" w:color="auto"/>
            </w:tcBorders>
          </w:tcPr>
          <w:p w:rsidR="009E0BD9" w:rsidRPr="00983F5B" w:rsidRDefault="009E0BD9" w:rsidP="004C4C4B">
            <w:pPr>
              <w:spacing w:after="0" w:line="240" w:lineRule="auto"/>
              <w:jc w:val="left"/>
              <w:rPr>
                <w:rFonts w:ascii="Century Gothic" w:hAnsi="Century Gothic"/>
                <w:b/>
                <w:bCs/>
                <w:szCs w:val="24"/>
                <w:lang w:val="en-GB" w:bidi="x-none"/>
              </w:rPr>
            </w:pPr>
            <w:r w:rsidRPr="00983F5B">
              <w:rPr>
                <w:rFonts w:ascii="Century Gothic" w:hAnsi="Century Gothic"/>
                <w:b/>
                <w:bCs/>
                <w:szCs w:val="24"/>
                <w:lang w:val="en-GB" w:bidi="x-none"/>
              </w:rPr>
              <w:t>Quantities of chemicals used</w:t>
            </w:r>
          </w:p>
          <w:p w:rsidR="009E0BD9" w:rsidRPr="00983F5B" w:rsidRDefault="009E0BD9" w:rsidP="004C4C4B">
            <w:pPr>
              <w:spacing w:after="0" w:line="240" w:lineRule="auto"/>
              <w:jc w:val="left"/>
              <w:rPr>
                <w:rFonts w:eastAsia="Times New Roman"/>
                <w:color w:val="0D0D0D" w:themeColor="text1" w:themeTint="F2"/>
                <w:szCs w:val="24"/>
                <w:lang w:val="en-GB"/>
              </w:rPr>
            </w:pPr>
            <w:r w:rsidRPr="00983F5B">
              <w:rPr>
                <w:rFonts w:eastAsia="Times New Roman"/>
                <w:color w:val="0D0D0D" w:themeColor="text1" w:themeTint="F2"/>
                <w:szCs w:val="24"/>
                <w:lang w:val="en-GB"/>
              </w:rPr>
              <w:t>N/A</w:t>
            </w:r>
          </w:p>
        </w:tc>
        <w:tc>
          <w:tcPr>
            <w:tcW w:w="4679" w:type="dxa"/>
            <w:tcBorders>
              <w:top w:val="single" w:sz="6" w:space="0" w:color="auto"/>
              <w:left w:val="single" w:sz="6" w:space="0" w:color="auto"/>
              <w:right w:val="single" w:sz="12" w:space="0" w:color="auto"/>
            </w:tcBorders>
          </w:tcPr>
          <w:p w:rsidR="009E0BD9" w:rsidRPr="00983F5B" w:rsidRDefault="009E0BD9" w:rsidP="004C4C4B">
            <w:pPr>
              <w:spacing w:after="0" w:line="240" w:lineRule="auto"/>
              <w:jc w:val="left"/>
              <w:rPr>
                <w:rFonts w:ascii="Century Gothic" w:hAnsi="Century Gothic"/>
                <w:b/>
                <w:bCs/>
                <w:szCs w:val="24"/>
                <w:lang w:val="en-GB" w:bidi="x-none"/>
              </w:rPr>
            </w:pPr>
            <w:r w:rsidRPr="00983F5B">
              <w:rPr>
                <w:rFonts w:ascii="Century Gothic" w:hAnsi="Century Gothic"/>
                <w:b/>
                <w:bCs/>
                <w:szCs w:val="24"/>
                <w:lang w:val="en-GB" w:bidi="x-none"/>
              </w:rPr>
              <w:t>Frequency of SOP use</w:t>
            </w:r>
          </w:p>
          <w:p w:rsidR="009E0BD9" w:rsidRPr="00983F5B" w:rsidRDefault="009E0BD9" w:rsidP="004C4C4B">
            <w:pPr>
              <w:spacing w:after="0" w:line="240" w:lineRule="auto"/>
              <w:jc w:val="left"/>
              <w:rPr>
                <w:szCs w:val="24"/>
                <w:lang w:val="en-GB" w:bidi="x-none"/>
              </w:rPr>
            </w:pPr>
            <w:r w:rsidRPr="00983F5B">
              <w:rPr>
                <w:szCs w:val="24"/>
                <w:lang w:val="en-GB" w:bidi="x-none"/>
              </w:rPr>
              <w:t>Daily</w:t>
            </w:r>
          </w:p>
        </w:tc>
      </w:tr>
      <w:tr w:rsidR="009E0BD9" w:rsidRPr="00983F5B" w:rsidTr="007A5E14">
        <w:trPr>
          <w:jc w:val="center"/>
        </w:trPr>
        <w:tc>
          <w:tcPr>
            <w:tcW w:w="4111" w:type="dxa"/>
            <w:tcBorders>
              <w:top w:val="single" w:sz="6" w:space="0" w:color="auto"/>
              <w:left w:val="single" w:sz="12" w:space="0" w:color="auto"/>
            </w:tcBorders>
          </w:tcPr>
          <w:p w:rsidR="009E0BD9" w:rsidRPr="00983F5B" w:rsidRDefault="009E0BD9" w:rsidP="004C4C4B">
            <w:pPr>
              <w:spacing w:after="0" w:line="240" w:lineRule="auto"/>
              <w:jc w:val="left"/>
              <w:rPr>
                <w:rFonts w:ascii="Century Gothic" w:hAnsi="Century Gothic"/>
                <w:b/>
                <w:bCs/>
                <w:szCs w:val="24"/>
                <w:lang w:val="en-GB" w:bidi="x-none"/>
              </w:rPr>
            </w:pPr>
            <w:r w:rsidRPr="00983F5B">
              <w:rPr>
                <w:rFonts w:ascii="Century Gothic" w:hAnsi="Century Gothic"/>
                <w:b/>
                <w:bCs/>
                <w:szCs w:val="24"/>
                <w:lang w:val="en-GB" w:bidi="x-none"/>
              </w:rPr>
              <w:t>Hazards identified</w:t>
            </w:r>
          </w:p>
          <w:p w:rsidR="009E0BD9" w:rsidRPr="00983F5B" w:rsidRDefault="004C4C4B" w:rsidP="004C4C4B">
            <w:pPr>
              <w:spacing w:after="0" w:line="240" w:lineRule="auto"/>
              <w:jc w:val="left"/>
              <w:rPr>
                <w:rFonts w:eastAsia="Times New Roman"/>
                <w:szCs w:val="24"/>
                <w:lang w:val="en-GB" w:bidi="x-none"/>
              </w:rPr>
            </w:pPr>
            <w:r w:rsidRPr="00983F5B">
              <w:rPr>
                <w:rFonts w:eastAsia="Times New Roman"/>
                <w:szCs w:val="24"/>
                <w:lang w:val="en-GB" w:bidi="x-none"/>
              </w:rPr>
              <w:t xml:space="preserve">1. </w:t>
            </w:r>
            <w:r w:rsidR="009E0BD9" w:rsidRPr="00983F5B">
              <w:rPr>
                <w:rFonts w:eastAsia="Times New Roman"/>
                <w:szCs w:val="24"/>
                <w:lang w:val="en-GB" w:bidi="x-none"/>
              </w:rPr>
              <w:t>Autoclaved liquid</w:t>
            </w:r>
          </w:p>
          <w:p w:rsidR="009E0BD9" w:rsidRPr="00983F5B" w:rsidRDefault="004C4C4B" w:rsidP="004C4C4B">
            <w:pPr>
              <w:spacing w:after="0" w:line="240" w:lineRule="auto"/>
              <w:jc w:val="left"/>
              <w:rPr>
                <w:rFonts w:eastAsia="Times New Roman"/>
                <w:szCs w:val="24"/>
                <w:lang w:val="en-GB" w:bidi="x-none"/>
              </w:rPr>
            </w:pPr>
            <w:r w:rsidRPr="00983F5B">
              <w:rPr>
                <w:rFonts w:eastAsia="Times New Roman"/>
                <w:szCs w:val="24"/>
                <w:lang w:val="en-GB" w:bidi="x-none"/>
              </w:rPr>
              <w:t xml:space="preserve">2. </w:t>
            </w:r>
            <w:r w:rsidR="009E0BD9" w:rsidRPr="00983F5B">
              <w:rPr>
                <w:rFonts w:eastAsia="Times New Roman"/>
                <w:szCs w:val="24"/>
                <w:lang w:val="en-GB" w:bidi="x-none"/>
              </w:rPr>
              <w:t xml:space="preserve">Potentially infectious material in sample  </w:t>
            </w:r>
          </w:p>
          <w:p w:rsidR="009E0BD9" w:rsidRPr="00983F5B" w:rsidRDefault="004C4C4B" w:rsidP="004C4C4B">
            <w:pPr>
              <w:spacing w:after="0" w:line="240" w:lineRule="auto"/>
              <w:jc w:val="left"/>
              <w:rPr>
                <w:rFonts w:eastAsia="Times New Roman"/>
                <w:color w:val="0D0D0D" w:themeColor="text1" w:themeTint="F2"/>
                <w:szCs w:val="24"/>
                <w:lang w:val="en-GB"/>
              </w:rPr>
            </w:pPr>
            <w:r w:rsidRPr="00983F5B">
              <w:rPr>
                <w:rFonts w:eastAsia="Times New Roman"/>
                <w:szCs w:val="24"/>
                <w:lang w:val="en-GB" w:bidi="x-none"/>
              </w:rPr>
              <w:t xml:space="preserve">3. </w:t>
            </w:r>
            <w:r w:rsidR="009E0BD9" w:rsidRPr="00983F5B">
              <w:rPr>
                <w:rFonts w:eastAsia="Times New Roman"/>
                <w:szCs w:val="24"/>
                <w:lang w:val="en-GB" w:bidi="x-none"/>
              </w:rPr>
              <w:t>Potentially pathogenic bacteria</w:t>
            </w:r>
          </w:p>
        </w:tc>
        <w:tc>
          <w:tcPr>
            <w:tcW w:w="4679" w:type="dxa"/>
            <w:tcBorders>
              <w:top w:val="single" w:sz="6" w:space="0" w:color="auto"/>
              <w:left w:val="single" w:sz="6" w:space="0" w:color="auto"/>
              <w:right w:val="single" w:sz="12" w:space="0" w:color="auto"/>
            </w:tcBorders>
          </w:tcPr>
          <w:p w:rsidR="009E0BD9" w:rsidRPr="00983F5B" w:rsidRDefault="009E0BD9" w:rsidP="004C4C4B">
            <w:pPr>
              <w:spacing w:after="0" w:line="240" w:lineRule="auto"/>
              <w:jc w:val="left"/>
              <w:rPr>
                <w:rFonts w:ascii="Century Gothic" w:hAnsi="Century Gothic"/>
                <w:szCs w:val="24"/>
                <w:lang w:val="en-GB" w:bidi="x-none"/>
              </w:rPr>
            </w:pPr>
            <w:r w:rsidRPr="00983F5B">
              <w:rPr>
                <w:rFonts w:ascii="Century Gothic" w:hAnsi="Century Gothic"/>
                <w:b/>
                <w:bCs/>
                <w:szCs w:val="24"/>
                <w:lang w:val="en-GB" w:bidi="x-none"/>
              </w:rPr>
              <w:t>Could a less hazardous substance be used instead?</w:t>
            </w:r>
            <w:r w:rsidRPr="00983F5B">
              <w:rPr>
                <w:rFonts w:ascii="Century Gothic" w:hAnsi="Century Gothic"/>
                <w:szCs w:val="24"/>
                <w:lang w:val="en-GB" w:bidi="x-none"/>
              </w:rPr>
              <w:t xml:space="preserve">    </w:t>
            </w:r>
          </w:p>
          <w:p w:rsidR="009E0BD9" w:rsidRPr="00983F5B" w:rsidRDefault="009E0BD9" w:rsidP="004C4C4B">
            <w:pPr>
              <w:spacing w:after="0" w:line="240" w:lineRule="auto"/>
              <w:jc w:val="left"/>
              <w:rPr>
                <w:szCs w:val="24"/>
                <w:lang w:val="en-GB" w:bidi="x-none"/>
              </w:rPr>
            </w:pPr>
            <w:r w:rsidRPr="00983F5B">
              <w:rPr>
                <w:szCs w:val="24"/>
                <w:lang w:val="en-GB" w:bidi="x-none"/>
              </w:rPr>
              <w:t>No</w:t>
            </w:r>
          </w:p>
        </w:tc>
      </w:tr>
      <w:tr w:rsidR="009E0BD9" w:rsidRPr="00983F5B" w:rsidTr="007A5E14">
        <w:trPr>
          <w:jc w:val="center"/>
        </w:trPr>
        <w:tc>
          <w:tcPr>
            <w:tcW w:w="8790" w:type="dxa"/>
            <w:gridSpan w:val="2"/>
            <w:tcBorders>
              <w:top w:val="single" w:sz="6" w:space="0" w:color="auto"/>
              <w:left w:val="single" w:sz="12" w:space="0" w:color="auto"/>
              <w:right w:val="single" w:sz="12" w:space="0" w:color="auto"/>
            </w:tcBorders>
          </w:tcPr>
          <w:p w:rsidR="009E0BD9" w:rsidRPr="00983F5B" w:rsidRDefault="009E0BD9" w:rsidP="004C4C4B">
            <w:pPr>
              <w:spacing w:after="0" w:line="240" w:lineRule="auto"/>
              <w:jc w:val="left"/>
              <w:rPr>
                <w:rFonts w:ascii="Century Gothic" w:hAnsi="Century Gothic"/>
                <w:b/>
                <w:bCs/>
                <w:szCs w:val="24"/>
                <w:lang w:val="en-GB" w:bidi="x-none"/>
              </w:rPr>
            </w:pPr>
            <w:r w:rsidRPr="00983F5B">
              <w:rPr>
                <w:rFonts w:ascii="Century Gothic" w:hAnsi="Century Gothic"/>
                <w:b/>
                <w:bCs/>
                <w:szCs w:val="24"/>
                <w:lang w:val="en-GB" w:bidi="x-none"/>
              </w:rPr>
              <w:t xml:space="preserve">What measures have you taken to control risk? </w:t>
            </w:r>
          </w:p>
          <w:p w:rsidR="009E0BD9" w:rsidRPr="00983F5B"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983F5B">
              <w:rPr>
                <w:rFonts w:eastAsia="Times New Roman" w:cs="Helvetica"/>
                <w:color w:val="0D0D0D" w:themeColor="text1" w:themeTint="F2"/>
                <w:szCs w:val="16"/>
                <w:lang w:val="en-GB"/>
              </w:rPr>
              <w:t xml:space="preserve">1. </w:t>
            </w:r>
            <w:r w:rsidR="009E0BD9" w:rsidRPr="00983F5B">
              <w:rPr>
                <w:rFonts w:eastAsia="Times New Roman" w:cs="Helvetica"/>
                <w:color w:val="0D0D0D" w:themeColor="text1" w:themeTint="F2"/>
                <w:szCs w:val="16"/>
                <w:lang w:val="en-GB"/>
              </w:rPr>
              <w:t>Training in good laboratory practices (GLP)</w:t>
            </w:r>
          </w:p>
          <w:p w:rsidR="009E0BD9" w:rsidRPr="00983F5B"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983F5B">
              <w:rPr>
                <w:rFonts w:eastAsia="Times New Roman" w:cs="Helvetica"/>
                <w:color w:val="0D0D0D" w:themeColor="text1" w:themeTint="F2"/>
                <w:szCs w:val="16"/>
                <w:lang w:val="en-GB"/>
              </w:rPr>
              <w:t xml:space="preserve">2. </w:t>
            </w:r>
            <w:r w:rsidR="009E0BD9" w:rsidRPr="00983F5B">
              <w:rPr>
                <w:rFonts w:eastAsia="Times New Roman" w:cs="Helvetica"/>
                <w:color w:val="0D0D0D" w:themeColor="text1" w:themeTint="F2"/>
                <w:szCs w:val="16"/>
                <w:lang w:val="en-GB"/>
              </w:rPr>
              <w:t>Appropriate PPE (lab coat, gloves, eye protection)</w:t>
            </w:r>
          </w:p>
          <w:p w:rsidR="009E0BD9" w:rsidRPr="00983F5B" w:rsidRDefault="004C4C4B" w:rsidP="004C4C4B">
            <w:pPr>
              <w:spacing w:after="0" w:line="240" w:lineRule="auto"/>
              <w:jc w:val="left"/>
              <w:rPr>
                <w:rFonts w:eastAsia="Times New Roman"/>
                <w:color w:val="0D0D0D" w:themeColor="text1" w:themeTint="F2"/>
                <w:szCs w:val="24"/>
                <w:lang w:val="en-GB"/>
              </w:rPr>
            </w:pPr>
            <w:r w:rsidRPr="00983F5B">
              <w:rPr>
                <w:rFonts w:eastAsia="Times New Roman" w:cs="Helvetica"/>
                <w:color w:val="0D0D0D" w:themeColor="text1" w:themeTint="F2"/>
                <w:szCs w:val="16"/>
                <w:lang w:val="en-GB"/>
              </w:rPr>
              <w:t xml:space="preserve">3. </w:t>
            </w:r>
            <w:r w:rsidR="009E0BD9" w:rsidRPr="00983F5B">
              <w:rPr>
                <w:rFonts w:eastAsia="Times New Roman" w:cs="Helvetica"/>
                <w:color w:val="0D0D0D" w:themeColor="text1" w:themeTint="F2"/>
                <w:szCs w:val="16"/>
                <w:lang w:val="en-GB"/>
              </w:rPr>
              <w:t>Use of biosafet</w:t>
            </w:r>
            <w:r w:rsidRPr="00983F5B">
              <w:rPr>
                <w:rFonts w:eastAsia="Times New Roman" w:cs="Helvetica"/>
                <w:color w:val="0D0D0D" w:themeColor="text1" w:themeTint="F2"/>
                <w:szCs w:val="16"/>
                <w:lang w:val="en-GB"/>
              </w:rPr>
              <w:t>y cabinet for reading of plates /</w:t>
            </w:r>
            <w:r w:rsidR="009E0BD9" w:rsidRPr="00983F5B">
              <w:rPr>
                <w:rFonts w:eastAsia="Times New Roman" w:cs="Helvetica"/>
                <w:color w:val="0D0D0D" w:themeColor="text1" w:themeTint="F2"/>
                <w:szCs w:val="16"/>
                <w:lang w:val="en-GB"/>
              </w:rPr>
              <w:t xml:space="preserve"> follow-up of BSL-3 organisms (e.g. </w:t>
            </w:r>
            <w:r w:rsidR="009E0BD9" w:rsidRPr="00983F5B">
              <w:rPr>
                <w:rFonts w:eastAsia="Times New Roman" w:cs="Helvetica"/>
                <w:i/>
                <w:iCs/>
                <w:color w:val="0D0D0D" w:themeColor="text1" w:themeTint="F2"/>
                <w:szCs w:val="16"/>
                <w:lang w:val="en-GB"/>
              </w:rPr>
              <w:t>B. pseudomallei</w:t>
            </w:r>
            <w:r w:rsidR="009E0BD9" w:rsidRPr="00983F5B">
              <w:rPr>
                <w:rFonts w:eastAsia="Times New Roman" w:cs="Helvetica"/>
                <w:color w:val="0D0D0D" w:themeColor="text1" w:themeTint="F2"/>
                <w:szCs w:val="16"/>
                <w:lang w:val="en-GB"/>
              </w:rPr>
              <w:t>)</w:t>
            </w:r>
          </w:p>
        </w:tc>
      </w:tr>
      <w:tr w:rsidR="009E0BD9" w:rsidRPr="00983F5B" w:rsidTr="007A5E14">
        <w:trPr>
          <w:jc w:val="center"/>
        </w:trPr>
        <w:tc>
          <w:tcPr>
            <w:tcW w:w="8790" w:type="dxa"/>
            <w:gridSpan w:val="2"/>
            <w:tcBorders>
              <w:top w:val="single" w:sz="6" w:space="0" w:color="auto"/>
              <w:left w:val="single" w:sz="12" w:space="0" w:color="auto"/>
              <w:right w:val="single" w:sz="12" w:space="0" w:color="auto"/>
            </w:tcBorders>
          </w:tcPr>
          <w:p w:rsidR="009E0BD9" w:rsidRPr="00983F5B" w:rsidRDefault="009E0BD9" w:rsidP="004C4C4B">
            <w:pPr>
              <w:spacing w:after="0" w:line="240" w:lineRule="auto"/>
              <w:jc w:val="left"/>
              <w:rPr>
                <w:rFonts w:ascii="Century Gothic" w:hAnsi="Century Gothic"/>
                <w:b/>
                <w:bCs/>
                <w:szCs w:val="24"/>
                <w:lang w:val="en-GB" w:bidi="x-none"/>
              </w:rPr>
            </w:pPr>
            <w:r w:rsidRPr="00983F5B">
              <w:rPr>
                <w:rFonts w:ascii="Century Gothic" w:hAnsi="Century Gothic"/>
                <w:b/>
                <w:bCs/>
                <w:szCs w:val="24"/>
                <w:lang w:val="en-GB" w:bidi="x-none"/>
              </w:rPr>
              <w:t>Checks on control measures</w:t>
            </w:r>
          </w:p>
          <w:p w:rsidR="009E0BD9" w:rsidRPr="00983F5B" w:rsidRDefault="009E0BD9" w:rsidP="004C4C4B">
            <w:pPr>
              <w:spacing w:after="0" w:line="240" w:lineRule="auto"/>
              <w:jc w:val="left"/>
              <w:rPr>
                <w:b/>
                <w:bCs/>
                <w:szCs w:val="24"/>
                <w:lang w:val="en-GB" w:bidi="x-none"/>
              </w:rPr>
            </w:pPr>
            <w:r w:rsidRPr="00983F5B">
              <w:rPr>
                <w:szCs w:val="24"/>
                <w:lang w:val="en-GB" w:bidi="x-none"/>
              </w:rPr>
              <w:t>Observation and supervision by senior staff</w:t>
            </w:r>
          </w:p>
        </w:tc>
      </w:tr>
      <w:tr w:rsidR="009E0BD9" w:rsidRPr="00983F5B" w:rsidTr="007A5E14">
        <w:trPr>
          <w:jc w:val="center"/>
        </w:trPr>
        <w:tc>
          <w:tcPr>
            <w:tcW w:w="4111" w:type="dxa"/>
            <w:tcBorders>
              <w:top w:val="single" w:sz="6" w:space="0" w:color="auto"/>
              <w:left w:val="single" w:sz="12" w:space="0" w:color="auto"/>
              <w:bottom w:val="single" w:sz="8" w:space="0" w:color="auto"/>
            </w:tcBorders>
          </w:tcPr>
          <w:p w:rsidR="009E0BD9" w:rsidRPr="00983F5B" w:rsidRDefault="009E0BD9" w:rsidP="004C4C4B">
            <w:pPr>
              <w:spacing w:after="0" w:line="240" w:lineRule="auto"/>
              <w:jc w:val="left"/>
              <w:rPr>
                <w:rFonts w:ascii="Century Gothic" w:hAnsi="Century Gothic"/>
                <w:b/>
                <w:bCs/>
                <w:szCs w:val="24"/>
                <w:lang w:val="en-GB" w:bidi="x-none"/>
              </w:rPr>
            </w:pPr>
            <w:r w:rsidRPr="00983F5B">
              <w:rPr>
                <w:rFonts w:ascii="Century Gothic" w:hAnsi="Century Gothic"/>
                <w:b/>
                <w:bCs/>
                <w:szCs w:val="24"/>
                <w:lang w:val="en-GB" w:bidi="x-none"/>
              </w:rPr>
              <w:t>Is health surveillance required?</w:t>
            </w:r>
          </w:p>
          <w:p w:rsidR="009E0BD9" w:rsidRPr="00983F5B" w:rsidRDefault="009E0BD9" w:rsidP="004C4C4B">
            <w:pPr>
              <w:spacing w:after="0" w:line="240" w:lineRule="auto"/>
              <w:jc w:val="left"/>
              <w:rPr>
                <w:szCs w:val="24"/>
                <w:lang w:val="en-GB" w:bidi="x-none"/>
              </w:rPr>
            </w:pPr>
            <w:r w:rsidRPr="00983F5B">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983F5B" w:rsidRDefault="009E0BD9" w:rsidP="004C4C4B">
            <w:pPr>
              <w:spacing w:after="0" w:line="240" w:lineRule="auto"/>
              <w:jc w:val="left"/>
              <w:rPr>
                <w:rFonts w:ascii="Century Gothic" w:hAnsi="Century Gothic"/>
                <w:b/>
                <w:bCs/>
                <w:szCs w:val="24"/>
                <w:lang w:val="en-GB" w:bidi="x-none"/>
              </w:rPr>
            </w:pPr>
            <w:r w:rsidRPr="00983F5B">
              <w:rPr>
                <w:rFonts w:ascii="Century Gothic" w:hAnsi="Century Gothic"/>
                <w:b/>
                <w:bCs/>
                <w:szCs w:val="24"/>
                <w:lang w:val="en-GB" w:bidi="x-none"/>
              </w:rPr>
              <w:t>Training requirements:</w:t>
            </w:r>
          </w:p>
          <w:p w:rsidR="009E0BD9" w:rsidRPr="00983F5B" w:rsidRDefault="009E0BD9" w:rsidP="004C4C4B">
            <w:pPr>
              <w:spacing w:after="0" w:line="240" w:lineRule="auto"/>
              <w:jc w:val="left"/>
              <w:rPr>
                <w:szCs w:val="24"/>
                <w:lang w:val="en-GB" w:bidi="x-none"/>
              </w:rPr>
            </w:pPr>
            <w:r w:rsidRPr="00983F5B">
              <w:rPr>
                <w:szCs w:val="24"/>
                <w:lang w:val="en-GB" w:bidi="x-none"/>
              </w:rPr>
              <w:t>GLP</w:t>
            </w:r>
          </w:p>
        </w:tc>
      </w:tr>
      <w:tr w:rsidR="009E0BD9" w:rsidRPr="00983F5B"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983F5B" w:rsidRDefault="009E0BD9" w:rsidP="004C4C4B">
            <w:pPr>
              <w:spacing w:after="0" w:line="240" w:lineRule="auto"/>
              <w:jc w:val="left"/>
              <w:rPr>
                <w:rFonts w:ascii="Century Gothic" w:hAnsi="Century Gothic"/>
                <w:szCs w:val="24"/>
                <w:lang w:val="en-GB" w:bidi="x-none"/>
              </w:rPr>
            </w:pPr>
            <w:r w:rsidRPr="00983F5B">
              <w:rPr>
                <w:rFonts w:ascii="Century Gothic" w:hAnsi="Century Gothic"/>
                <w:b/>
                <w:bCs/>
                <w:szCs w:val="24"/>
                <w:lang w:val="en-GB" w:bidi="x-none"/>
              </w:rPr>
              <w:t>Emergency procedures</w:t>
            </w:r>
            <w:r w:rsidRPr="00983F5B">
              <w:rPr>
                <w:rFonts w:ascii="Century Gothic" w:hAnsi="Century Gothic"/>
                <w:szCs w:val="24"/>
                <w:lang w:val="en-GB" w:bidi="x-none"/>
              </w:rPr>
              <w:t>:</w:t>
            </w:r>
          </w:p>
          <w:p w:rsidR="009E0BD9" w:rsidRPr="00983F5B" w:rsidRDefault="004C4C4B" w:rsidP="004C4C4B">
            <w:pPr>
              <w:spacing w:after="0" w:line="240" w:lineRule="auto"/>
              <w:jc w:val="left"/>
              <w:rPr>
                <w:szCs w:val="24"/>
                <w:lang w:val="en-GB" w:bidi="x-none"/>
              </w:rPr>
            </w:pPr>
            <w:r w:rsidRPr="00983F5B">
              <w:rPr>
                <w:szCs w:val="24"/>
                <w:lang w:val="en-GB" w:bidi="x-none"/>
              </w:rPr>
              <w:t xml:space="preserve">1. </w:t>
            </w:r>
            <w:r w:rsidR="009E0BD9" w:rsidRPr="00983F5B">
              <w:rPr>
                <w:szCs w:val="24"/>
                <w:lang w:val="en-GB" w:bidi="x-none"/>
              </w:rPr>
              <w:t>Report all incidents to Safety Adviser</w:t>
            </w:r>
          </w:p>
          <w:p w:rsidR="009E0BD9" w:rsidRPr="00983F5B" w:rsidRDefault="004C4C4B" w:rsidP="004C4C4B">
            <w:pPr>
              <w:spacing w:after="0" w:line="240" w:lineRule="auto"/>
              <w:jc w:val="left"/>
              <w:rPr>
                <w:szCs w:val="24"/>
                <w:lang w:val="en-GB" w:bidi="x-none"/>
              </w:rPr>
            </w:pPr>
            <w:r w:rsidRPr="00983F5B">
              <w:rPr>
                <w:szCs w:val="24"/>
                <w:lang w:val="en-GB" w:bidi="x-none"/>
              </w:rPr>
              <w:t>2. Use eye</w:t>
            </w:r>
            <w:r w:rsidR="009E0BD9" w:rsidRPr="00983F5B">
              <w:rPr>
                <w:szCs w:val="24"/>
                <w:lang w:val="en-GB" w:bidi="x-none"/>
              </w:rPr>
              <w:t>wash for splashes</w:t>
            </w:r>
          </w:p>
          <w:p w:rsidR="009E0BD9" w:rsidRPr="00983F5B" w:rsidRDefault="004C4C4B" w:rsidP="004C4C4B">
            <w:pPr>
              <w:spacing w:after="0" w:line="240" w:lineRule="auto"/>
              <w:jc w:val="left"/>
              <w:rPr>
                <w:rFonts w:eastAsia="Times New Roman"/>
                <w:color w:val="0D0D0D" w:themeColor="text1" w:themeTint="F2"/>
                <w:szCs w:val="24"/>
                <w:lang w:val="en-GB"/>
              </w:rPr>
            </w:pPr>
            <w:r w:rsidRPr="00983F5B">
              <w:rPr>
                <w:szCs w:val="24"/>
                <w:lang w:val="en-GB"/>
              </w:rPr>
              <w:t xml:space="preserve">3. </w:t>
            </w:r>
            <w:r w:rsidR="009E0BD9" w:rsidRPr="00983F5B">
              <w:rPr>
                <w:szCs w:val="24"/>
                <w:lang w:val="en-GB"/>
              </w:rPr>
              <w:t xml:space="preserve">Clean up </w:t>
            </w:r>
            <w:r w:rsidRPr="00983F5B">
              <w:rPr>
                <w:szCs w:val="24"/>
                <w:lang w:val="en-GB"/>
              </w:rPr>
              <w:t xml:space="preserve">spills </w:t>
            </w:r>
            <w:r w:rsidR="009E0BD9" w:rsidRPr="00983F5B">
              <w:rPr>
                <w:szCs w:val="24"/>
                <w:lang w:val="en-GB"/>
              </w:rPr>
              <w:t>using 1% Virkon</w:t>
            </w:r>
            <w:r w:rsidRPr="00983F5B">
              <w:rPr>
                <w:szCs w:val="24"/>
                <w:lang w:val="en-GB"/>
              </w:rPr>
              <w:t xml:space="preserve"> or chemical spill kit</w:t>
            </w:r>
          </w:p>
        </w:tc>
        <w:tc>
          <w:tcPr>
            <w:tcW w:w="4679" w:type="dxa"/>
            <w:tcBorders>
              <w:top w:val="single" w:sz="8" w:space="0" w:color="auto"/>
              <w:left w:val="single" w:sz="8" w:space="0" w:color="auto"/>
              <w:bottom w:val="single" w:sz="12" w:space="0" w:color="auto"/>
              <w:right w:val="single" w:sz="12" w:space="0" w:color="auto"/>
            </w:tcBorders>
          </w:tcPr>
          <w:p w:rsidR="009E0BD9" w:rsidRPr="00983F5B" w:rsidRDefault="009E0BD9" w:rsidP="004C4C4B">
            <w:pPr>
              <w:spacing w:after="0" w:line="240" w:lineRule="auto"/>
              <w:jc w:val="left"/>
              <w:rPr>
                <w:rFonts w:ascii="Century Gothic" w:hAnsi="Century Gothic"/>
                <w:szCs w:val="24"/>
                <w:lang w:val="en-GB" w:bidi="x-none"/>
              </w:rPr>
            </w:pPr>
            <w:r w:rsidRPr="00983F5B">
              <w:rPr>
                <w:rFonts w:ascii="Century Gothic" w:hAnsi="Century Gothic"/>
                <w:b/>
                <w:bCs/>
                <w:szCs w:val="24"/>
                <w:lang w:val="en-GB" w:bidi="x-none"/>
              </w:rPr>
              <w:t>Waste disposal procedures</w:t>
            </w:r>
            <w:r w:rsidRPr="00983F5B">
              <w:rPr>
                <w:rFonts w:ascii="Century Gothic" w:hAnsi="Century Gothic"/>
                <w:szCs w:val="24"/>
                <w:lang w:val="en-GB" w:bidi="x-none"/>
              </w:rPr>
              <w:t>:</w:t>
            </w:r>
          </w:p>
          <w:p w:rsidR="009E0BD9" w:rsidRPr="00983F5B"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983F5B">
              <w:rPr>
                <w:rFonts w:eastAsia="Times New Roman" w:cs="Helvetica"/>
                <w:color w:val="0D0D0D" w:themeColor="text1" w:themeTint="F2"/>
                <w:szCs w:val="16"/>
                <w:lang w:val="en-GB"/>
              </w:rPr>
              <w:t xml:space="preserve">1. </w:t>
            </w:r>
            <w:r w:rsidR="009E0BD9" w:rsidRPr="00983F5B">
              <w:rPr>
                <w:rFonts w:eastAsia="Times New Roman" w:cs="Helvetica"/>
                <w:color w:val="0D0D0D" w:themeColor="text1" w:themeTint="F2"/>
                <w:szCs w:val="16"/>
                <w:lang w:val="en-GB"/>
              </w:rPr>
              <w:t>Sharps discarded into appropriate ri</w:t>
            </w:r>
            <w:r w:rsidRPr="00983F5B">
              <w:rPr>
                <w:rFonts w:eastAsia="Times New Roman" w:cs="Helvetica"/>
                <w:color w:val="0D0D0D" w:themeColor="text1" w:themeTint="F2"/>
                <w:szCs w:val="16"/>
                <w:lang w:val="en-GB"/>
              </w:rPr>
              <w:t>gid containers for incineration</w:t>
            </w:r>
          </w:p>
          <w:p w:rsidR="009E0BD9" w:rsidRPr="00983F5B"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983F5B">
              <w:rPr>
                <w:rFonts w:eastAsia="Times New Roman" w:cs="Helvetica"/>
                <w:color w:val="0D0D0D" w:themeColor="text1" w:themeTint="F2"/>
                <w:szCs w:val="16"/>
                <w:lang w:val="en-GB"/>
              </w:rPr>
              <w:t xml:space="preserve">2. </w:t>
            </w:r>
            <w:r w:rsidR="009E0BD9" w:rsidRPr="00983F5B">
              <w:rPr>
                <w:rFonts w:eastAsia="Times New Roman" w:cs="Helvetica"/>
                <w:color w:val="0D0D0D" w:themeColor="text1" w:themeTint="F2"/>
                <w:szCs w:val="16"/>
                <w:lang w:val="en-GB"/>
              </w:rPr>
              <w:t>Infectious waste discarded into autoclave bags or 1% Virkon solution prior to autoclav</w:t>
            </w:r>
            <w:r w:rsidRPr="00983F5B">
              <w:rPr>
                <w:rFonts w:eastAsia="Times New Roman" w:cs="Helvetica"/>
                <w:color w:val="0D0D0D" w:themeColor="text1" w:themeTint="F2"/>
                <w:szCs w:val="16"/>
                <w:lang w:val="en-GB"/>
              </w:rPr>
              <w:t>ing and subsequent incineration</w:t>
            </w:r>
          </w:p>
          <w:p w:rsidR="009E0BD9" w:rsidRPr="00983F5B" w:rsidRDefault="004C4C4B" w:rsidP="004C4C4B">
            <w:pPr>
              <w:spacing w:after="0" w:line="240" w:lineRule="auto"/>
              <w:jc w:val="left"/>
              <w:rPr>
                <w:sz w:val="40"/>
                <w:szCs w:val="24"/>
                <w:lang w:val="en-GB" w:bidi="x-none"/>
              </w:rPr>
            </w:pPr>
            <w:r w:rsidRPr="00983F5B">
              <w:rPr>
                <w:rFonts w:eastAsia="Times New Roman" w:cs="Helvetica"/>
                <w:color w:val="0D0D0D" w:themeColor="text1" w:themeTint="F2"/>
                <w:szCs w:val="16"/>
                <w:lang w:val="en-GB"/>
              </w:rPr>
              <w:t xml:space="preserve">3. </w:t>
            </w:r>
            <w:r w:rsidR="009E0BD9" w:rsidRPr="00983F5B">
              <w:rPr>
                <w:rFonts w:eastAsia="Times New Roman" w:cs="Helvetica"/>
                <w:color w:val="0D0D0D" w:themeColor="text1" w:themeTint="F2"/>
                <w:szCs w:val="16"/>
                <w:lang w:val="en-GB"/>
              </w:rPr>
              <w:t>Chemical waste disposed of according to manufacturer’s instructions</w:t>
            </w:r>
          </w:p>
        </w:tc>
      </w:tr>
    </w:tbl>
    <w:p w:rsidR="002B171B" w:rsidRDefault="002B171B" w:rsidP="00BF4A7B">
      <w:pPr>
        <w:rPr>
          <w:lang w:val="en-GB"/>
        </w:rPr>
      </w:pPr>
    </w:p>
    <w:p w:rsidR="002B171B" w:rsidRDefault="002B171B" w:rsidP="002B171B">
      <w:pPr>
        <w:rPr>
          <w:lang w:val="en-GB"/>
        </w:rPr>
      </w:pPr>
      <w:r>
        <w:rPr>
          <w:lang w:val="en-GB"/>
        </w:rPr>
        <w:br w:type="page"/>
      </w:r>
    </w:p>
    <w:p w:rsidR="00C0763D" w:rsidRDefault="00C0763D" w:rsidP="002B171B">
      <w:pPr>
        <w:pStyle w:val="Heading1"/>
        <w:rPr>
          <w:lang w:val="en-GB"/>
        </w:rPr>
      </w:pPr>
      <w:r>
        <w:rPr>
          <w:lang w:val="en-GB"/>
        </w:rPr>
        <w:t>Appendix 1: Etest QC procedure</w:t>
      </w:r>
    </w:p>
    <w:p w:rsidR="00C0763D" w:rsidRDefault="00C0763D">
      <w:pPr>
        <w:spacing w:after="0" w:line="240" w:lineRule="auto"/>
        <w:jc w:val="left"/>
        <w:rPr>
          <w:lang w:val="en-GB"/>
        </w:rPr>
      </w:pPr>
      <w:r>
        <w:rPr>
          <w:lang w:val="en-GB"/>
        </w:rPr>
        <w:br w:type="page"/>
      </w:r>
    </w:p>
    <w:p w:rsidR="00C0763D" w:rsidRPr="00C0763D" w:rsidRDefault="00C0763D" w:rsidP="00C0763D">
      <w:pPr>
        <w:rPr>
          <w:rFonts w:ascii="Century Gothic" w:hAnsi="Century Gothic"/>
          <w:b/>
          <w:lang w:val="en-GB"/>
        </w:rPr>
      </w:pPr>
      <w:r w:rsidRPr="00C0763D">
        <w:rPr>
          <w:rFonts w:ascii="Century Gothic" w:hAnsi="Century Gothic"/>
          <w:b/>
          <w:lang w:val="en-GB"/>
        </w:rPr>
        <w:t>Etest QC sheet</w:t>
      </w:r>
    </w:p>
    <w:tbl>
      <w:tblPr>
        <w:tblStyle w:val="TableGrid"/>
        <w:tblW w:w="0" w:type="auto"/>
        <w:tblLook w:val="04A0" w:firstRow="1" w:lastRow="0" w:firstColumn="1" w:lastColumn="0" w:noHBand="0" w:noVBand="1"/>
      </w:tblPr>
      <w:tblGrid>
        <w:gridCol w:w="2518"/>
        <w:gridCol w:w="6338"/>
      </w:tblGrid>
      <w:tr w:rsidR="0038094C" w:rsidTr="00204176">
        <w:tc>
          <w:tcPr>
            <w:tcW w:w="2518" w:type="dxa"/>
          </w:tcPr>
          <w:p w:rsidR="0038094C" w:rsidRPr="00D8252A" w:rsidRDefault="0038094C" w:rsidP="00204176">
            <w:pPr>
              <w:spacing w:after="60"/>
              <w:rPr>
                <w:b/>
                <w:i/>
                <w:iCs/>
              </w:rPr>
            </w:pPr>
            <w:r w:rsidRPr="00D8252A">
              <w:rPr>
                <w:b/>
              </w:rPr>
              <w:t>QC strain</w:t>
            </w:r>
            <w:r w:rsidR="009131EC">
              <w:rPr>
                <w:b/>
              </w:rPr>
              <w:t>s</w:t>
            </w:r>
            <w:r w:rsidRPr="00D8252A">
              <w:rPr>
                <w:b/>
              </w:rPr>
              <w:t xml:space="preserve">: </w:t>
            </w:r>
          </w:p>
        </w:tc>
        <w:tc>
          <w:tcPr>
            <w:tcW w:w="6338" w:type="dxa"/>
          </w:tcPr>
          <w:p w:rsidR="0038094C" w:rsidRPr="00972B53" w:rsidRDefault="0038094C" w:rsidP="0038094C">
            <w:pPr>
              <w:rPr>
                <w:lang w:val="en-GB"/>
              </w:rPr>
            </w:pPr>
            <w:r w:rsidRPr="0038094C">
              <w:rPr>
                <w:i/>
                <w:iCs/>
              </w:rPr>
              <w:t xml:space="preserve">E. coli </w:t>
            </w:r>
            <w:r w:rsidRPr="0038094C">
              <w:rPr>
                <w:iCs/>
              </w:rPr>
              <w:t>ATCC 25922</w:t>
            </w:r>
            <w:r>
              <w:rPr>
                <w:iCs/>
              </w:rPr>
              <w:t>;</w:t>
            </w:r>
            <w:r w:rsidRPr="0038094C">
              <w:rPr>
                <w:i/>
                <w:lang w:val="en-GB"/>
              </w:rPr>
              <w:t xml:space="preserve"> </w:t>
            </w:r>
            <w:r w:rsidR="00972B53">
              <w:rPr>
                <w:i/>
                <w:lang w:val="en-GB"/>
              </w:rPr>
              <w:t xml:space="preserve">P. aeruginosa </w:t>
            </w:r>
            <w:r w:rsidR="00972B53">
              <w:rPr>
                <w:lang w:val="en-GB"/>
              </w:rPr>
              <w:t>ATCC 27853;</w:t>
            </w:r>
          </w:p>
          <w:p w:rsidR="0038094C" w:rsidRPr="00BF5F29" w:rsidRDefault="0038094C" w:rsidP="0038094C">
            <w:pPr>
              <w:rPr>
                <w:iCs/>
              </w:rPr>
            </w:pPr>
            <w:r w:rsidRPr="0038094C">
              <w:rPr>
                <w:i/>
                <w:lang w:val="en-GB"/>
              </w:rPr>
              <w:t>S. pneumoniae</w:t>
            </w:r>
            <w:r w:rsidRPr="0038094C">
              <w:rPr>
                <w:lang w:val="en-GB"/>
              </w:rPr>
              <w:t xml:space="preserve"> ATCC 49619</w:t>
            </w:r>
          </w:p>
        </w:tc>
      </w:tr>
      <w:tr w:rsidR="0038094C" w:rsidTr="00204176">
        <w:tc>
          <w:tcPr>
            <w:tcW w:w="2518" w:type="dxa"/>
          </w:tcPr>
          <w:p w:rsidR="0038094C" w:rsidRPr="00D8252A" w:rsidRDefault="0038094C" w:rsidP="00204176">
            <w:pPr>
              <w:spacing w:after="50"/>
              <w:rPr>
                <w:b/>
                <w:iCs/>
              </w:rPr>
            </w:pPr>
            <w:r w:rsidRPr="00D8252A">
              <w:rPr>
                <w:b/>
                <w:iCs/>
              </w:rPr>
              <w:t>D</w:t>
            </w:r>
            <w:r>
              <w:rPr>
                <w:b/>
                <w:iCs/>
              </w:rPr>
              <w:t>ate MH</w:t>
            </w:r>
            <w:r w:rsidR="001A42C1">
              <w:rPr>
                <w:b/>
                <w:iCs/>
              </w:rPr>
              <w:t>(B)</w:t>
            </w:r>
            <w:r w:rsidRPr="00D8252A">
              <w:rPr>
                <w:b/>
                <w:iCs/>
              </w:rPr>
              <w:t xml:space="preserve"> prepared:</w:t>
            </w:r>
          </w:p>
        </w:tc>
        <w:tc>
          <w:tcPr>
            <w:tcW w:w="6338" w:type="dxa"/>
          </w:tcPr>
          <w:p w:rsidR="0038094C" w:rsidRDefault="0038094C" w:rsidP="00204176">
            <w:pPr>
              <w:spacing w:after="50"/>
              <w:rPr>
                <w:iCs/>
              </w:rPr>
            </w:pPr>
          </w:p>
        </w:tc>
      </w:tr>
      <w:tr w:rsidR="0038094C" w:rsidTr="00204176">
        <w:tc>
          <w:tcPr>
            <w:tcW w:w="2518" w:type="dxa"/>
          </w:tcPr>
          <w:p w:rsidR="0038094C" w:rsidRPr="00D8252A" w:rsidRDefault="0038094C" w:rsidP="009131EC">
            <w:pPr>
              <w:spacing w:after="50"/>
              <w:rPr>
                <w:b/>
                <w:iCs/>
              </w:rPr>
            </w:pPr>
            <w:r w:rsidRPr="00D8252A">
              <w:rPr>
                <w:b/>
                <w:iCs/>
              </w:rPr>
              <w:t xml:space="preserve">Date </w:t>
            </w:r>
            <w:r w:rsidR="009131EC">
              <w:rPr>
                <w:b/>
                <w:iCs/>
              </w:rPr>
              <w:t>MIC</w:t>
            </w:r>
            <w:r w:rsidRPr="00D8252A">
              <w:rPr>
                <w:b/>
                <w:iCs/>
              </w:rPr>
              <w:t xml:space="preserve"> measured:</w:t>
            </w:r>
          </w:p>
        </w:tc>
        <w:tc>
          <w:tcPr>
            <w:tcW w:w="6338" w:type="dxa"/>
          </w:tcPr>
          <w:p w:rsidR="0038094C" w:rsidRDefault="0038094C" w:rsidP="00204176">
            <w:pPr>
              <w:spacing w:after="50"/>
              <w:rPr>
                <w:iCs/>
              </w:rPr>
            </w:pPr>
          </w:p>
        </w:tc>
      </w:tr>
      <w:tr w:rsidR="0038094C" w:rsidTr="00204176">
        <w:tc>
          <w:tcPr>
            <w:tcW w:w="2518" w:type="dxa"/>
          </w:tcPr>
          <w:p w:rsidR="0038094C" w:rsidRPr="00D8252A" w:rsidRDefault="0038094C" w:rsidP="00204176">
            <w:pPr>
              <w:spacing w:after="50"/>
              <w:rPr>
                <w:b/>
                <w:iCs/>
              </w:rPr>
            </w:pPr>
            <w:r w:rsidRPr="00D8252A">
              <w:rPr>
                <w:b/>
                <w:iCs/>
              </w:rPr>
              <w:t>QC performed by:</w:t>
            </w:r>
          </w:p>
        </w:tc>
        <w:tc>
          <w:tcPr>
            <w:tcW w:w="6338" w:type="dxa"/>
          </w:tcPr>
          <w:p w:rsidR="0038094C" w:rsidRDefault="0038094C" w:rsidP="00204176">
            <w:pPr>
              <w:spacing w:after="50"/>
              <w:rPr>
                <w:iCs/>
              </w:rPr>
            </w:pPr>
          </w:p>
        </w:tc>
      </w:tr>
    </w:tbl>
    <w:p w:rsidR="0038094C" w:rsidRDefault="0038094C" w:rsidP="0038094C">
      <w:pPr>
        <w:rPr>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1275"/>
        <w:gridCol w:w="1276"/>
        <w:gridCol w:w="1418"/>
        <w:gridCol w:w="1275"/>
        <w:gridCol w:w="1418"/>
      </w:tblGrid>
      <w:tr w:rsidR="0038094C" w:rsidRPr="00D3475D" w:rsidTr="00C04EC4">
        <w:trPr>
          <w:trHeight w:val="850"/>
        </w:trPr>
        <w:tc>
          <w:tcPr>
            <w:tcW w:w="959" w:type="dxa"/>
            <w:vMerge w:val="restart"/>
            <w:shd w:val="clear" w:color="auto" w:fill="BFBFBF" w:themeFill="background1" w:themeFillShade="BF"/>
            <w:vAlign w:val="center"/>
          </w:tcPr>
          <w:p w:rsidR="0038094C" w:rsidRPr="00D8252A" w:rsidRDefault="001A42C1" w:rsidP="00972B53">
            <w:pPr>
              <w:spacing w:after="50"/>
              <w:jc w:val="left"/>
              <w:rPr>
                <w:b/>
                <w:szCs w:val="24"/>
                <w:lang w:val="en-GB"/>
              </w:rPr>
            </w:pPr>
            <w:r>
              <w:rPr>
                <w:b/>
                <w:szCs w:val="24"/>
                <w:lang w:val="en-GB"/>
              </w:rPr>
              <w:t>Etest</w:t>
            </w:r>
          </w:p>
        </w:tc>
        <w:tc>
          <w:tcPr>
            <w:tcW w:w="7938" w:type="dxa"/>
            <w:gridSpan w:val="6"/>
            <w:shd w:val="clear" w:color="auto" w:fill="BFBFBF" w:themeFill="background1" w:themeFillShade="BF"/>
            <w:vAlign w:val="center"/>
          </w:tcPr>
          <w:p w:rsidR="0038094C" w:rsidRPr="00D3475D" w:rsidRDefault="0038094C" w:rsidP="00972B53">
            <w:pPr>
              <w:spacing w:after="50"/>
              <w:jc w:val="center"/>
              <w:rPr>
                <w:b/>
                <w:bCs/>
                <w:iCs/>
                <w:color w:val="000000" w:themeColor="text1"/>
                <w:szCs w:val="24"/>
              </w:rPr>
            </w:pPr>
            <w:r>
              <w:rPr>
                <w:b/>
                <w:bCs/>
                <w:iCs/>
                <w:color w:val="000000" w:themeColor="text1"/>
                <w:szCs w:val="24"/>
              </w:rPr>
              <w:t xml:space="preserve">MIC </w:t>
            </w:r>
            <w:r w:rsidR="001A42C1">
              <w:rPr>
                <w:b/>
                <w:lang w:val="en-GB"/>
              </w:rPr>
              <w:t>(µg/ml)</w:t>
            </w:r>
          </w:p>
        </w:tc>
      </w:tr>
      <w:tr w:rsidR="001A42C1" w:rsidRPr="00D3475D" w:rsidTr="00C04EC4">
        <w:tc>
          <w:tcPr>
            <w:tcW w:w="959" w:type="dxa"/>
            <w:vMerge/>
            <w:shd w:val="clear" w:color="auto" w:fill="BFBFBF" w:themeFill="background1" w:themeFillShade="BF"/>
            <w:vAlign w:val="center"/>
          </w:tcPr>
          <w:p w:rsidR="001A42C1" w:rsidRPr="00D8252A" w:rsidRDefault="001A42C1" w:rsidP="00972B53">
            <w:pPr>
              <w:spacing w:after="50"/>
              <w:jc w:val="left"/>
              <w:rPr>
                <w:b/>
                <w:szCs w:val="24"/>
                <w:lang w:val="en-GB"/>
              </w:rPr>
            </w:pPr>
          </w:p>
        </w:tc>
        <w:tc>
          <w:tcPr>
            <w:tcW w:w="2551" w:type="dxa"/>
            <w:gridSpan w:val="2"/>
            <w:shd w:val="clear" w:color="auto" w:fill="BFBFBF" w:themeFill="background1" w:themeFillShade="BF"/>
            <w:vAlign w:val="center"/>
          </w:tcPr>
          <w:p w:rsidR="001A42C1" w:rsidRPr="00D3475D" w:rsidRDefault="001A42C1" w:rsidP="00972B53">
            <w:pPr>
              <w:spacing w:after="50"/>
              <w:jc w:val="center"/>
              <w:rPr>
                <w:b/>
                <w:bCs/>
                <w:i/>
                <w:iCs/>
                <w:color w:val="000000" w:themeColor="text1"/>
                <w:sz w:val="20"/>
              </w:rPr>
            </w:pPr>
            <w:r w:rsidRPr="00D3475D">
              <w:rPr>
                <w:b/>
                <w:bCs/>
                <w:i/>
                <w:iCs/>
                <w:color w:val="000000" w:themeColor="text1"/>
                <w:sz w:val="20"/>
              </w:rPr>
              <w:t>E. coli</w:t>
            </w:r>
          </w:p>
          <w:p w:rsidR="001A42C1" w:rsidRDefault="001A42C1" w:rsidP="00972B53">
            <w:pPr>
              <w:spacing w:after="50"/>
              <w:jc w:val="center"/>
              <w:rPr>
                <w:b/>
                <w:bCs/>
                <w:iCs/>
                <w:color w:val="000000" w:themeColor="text1"/>
                <w:sz w:val="20"/>
              </w:rPr>
            </w:pPr>
            <w:r w:rsidRPr="00D3475D">
              <w:rPr>
                <w:b/>
                <w:bCs/>
                <w:iCs/>
                <w:color w:val="000000" w:themeColor="text1"/>
                <w:sz w:val="20"/>
              </w:rPr>
              <w:t>ATCC 35218</w:t>
            </w:r>
          </w:p>
          <w:p w:rsidR="009131EC" w:rsidRPr="00D3475D" w:rsidRDefault="009131EC" w:rsidP="00972B53">
            <w:pPr>
              <w:spacing w:after="50"/>
              <w:jc w:val="center"/>
              <w:rPr>
                <w:b/>
                <w:bCs/>
                <w:iCs/>
                <w:color w:val="000000" w:themeColor="text1"/>
                <w:sz w:val="20"/>
              </w:rPr>
            </w:pPr>
            <w:r>
              <w:rPr>
                <w:b/>
                <w:bCs/>
                <w:iCs/>
                <w:color w:val="000000" w:themeColor="text1"/>
                <w:sz w:val="20"/>
              </w:rPr>
              <w:t>MH agar</w:t>
            </w:r>
          </w:p>
        </w:tc>
        <w:tc>
          <w:tcPr>
            <w:tcW w:w="2694" w:type="dxa"/>
            <w:gridSpan w:val="2"/>
            <w:shd w:val="clear" w:color="auto" w:fill="BFBFBF" w:themeFill="background1" w:themeFillShade="BF"/>
            <w:vAlign w:val="center"/>
          </w:tcPr>
          <w:p w:rsidR="00F221E6" w:rsidRPr="00D3475D" w:rsidRDefault="00F221E6" w:rsidP="00972B53">
            <w:pPr>
              <w:spacing w:after="50"/>
              <w:jc w:val="center"/>
              <w:rPr>
                <w:b/>
                <w:i/>
                <w:iCs/>
                <w:sz w:val="20"/>
              </w:rPr>
            </w:pPr>
            <w:r w:rsidRPr="00D3475D">
              <w:rPr>
                <w:b/>
                <w:i/>
                <w:iCs/>
                <w:sz w:val="20"/>
              </w:rPr>
              <w:t>P. aeruginosa</w:t>
            </w:r>
          </w:p>
          <w:p w:rsidR="00F221E6" w:rsidRDefault="00F221E6" w:rsidP="00972B53">
            <w:pPr>
              <w:spacing w:after="50"/>
              <w:jc w:val="center"/>
              <w:rPr>
                <w:b/>
                <w:iCs/>
                <w:sz w:val="20"/>
              </w:rPr>
            </w:pPr>
            <w:r w:rsidRPr="00D3475D">
              <w:rPr>
                <w:b/>
                <w:iCs/>
                <w:sz w:val="20"/>
              </w:rPr>
              <w:t>ATCC 27853</w:t>
            </w:r>
          </w:p>
          <w:p w:rsidR="009131EC" w:rsidRPr="00D3475D" w:rsidRDefault="009131EC" w:rsidP="00972B53">
            <w:pPr>
              <w:spacing w:after="50"/>
              <w:jc w:val="center"/>
              <w:rPr>
                <w:b/>
                <w:bCs/>
                <w:i/>
                <w:iCs/>
                <w:color w:val="000000" w:themeColor="text1"/>
                <w:sz w:val="20"/>
              </w:rPr>
            </w:pPr>
            <w:r>
              <w:rPr>
                <w:b/>
                <w:iCs/>
                <w:sz w:val="20"/>
              </w:rPr>
              <w:t>MH agar</w:t>
            </w:r>
          </w:p>
        </w:tc>
        <w:tc>
          <w:tcPr>
            <w:tcW w:w="2693" w:type="dxa"/>
            <w:gridSpan w:val="2"/>
            <w:shd w:val="clear" w:color="auto" w:fill="BFBFBF" w:themeFill="background1" w:themeFillShade="BF"/>
            <w:vAlign w:val="center"/>
          </w:tcPr>
          <w:p w:rsidR="001A42C1" w:rsidRDefault="001A42C1" w:rsidP="00972B53">
            <w:pPr>
              <w:spacing w:after="50"/>
              <w:jc w:val="center"/>
              <w:rPr>
                <w:b/>
                <w:i/>
                <w:iCs/>
                <w:sz w:val="20"/>
              </w:rPr>
            </w:pPr>
            <w:r>
              <w:rPr>
                <w:b/>
                <w:i/>
                <w:iCs/>
                <w:sz w:val="20"/>
              </w:rPr>
              <w:t>S. pneumoniae</w:t>
            </w:r>
          </w:p>
          <w:p w:rsidR="001A42C1" w:rsidRDefault="001A42C1" w:rsidP="00972B53">
            <w:pPr>
              <w:spacing w:after="50"/>
              <w:jc w:val="center"/>
              <w:rPr>
                <w:b/>
                <w:iCs/>
                <w:sz w:val="20"/>
              </w:rPr>
            </w:pPr>
            <w:r>
              <w:rPr>
                <w:b/>
                <w:iCs/>
                <w:sz w:val="20"/>
              </w:rPr>
              <w:t>ATCC 49619</w:t>
            </w:r>
          </w:p>
          <w:p w:rsidR="009131EC" w:rsidRPr="001A42C1" w:rsidRDefault="009131EC" w:rsidP="00972B53">
            <w:pPr>
              <w:spacing w:after="50"/>
              <w:jc w:val="center"/>
              <w:rPr>
                <w:b/>
                <w:bCs/>
                <w:iCs/>
                <w:color w:val="000000" w:themeColor="text1"/>
                <w:sz w:val="20"/>
              </w:rPr>
            </w:pPr>
            <w:r>
              <w:rPr>
                <w:b/>
                <w:iCs/>
                <w:sz w:val="20"/>
              </w:rPr>
              <w:t>MHB agar</w:t>
            </w:r>
          </w:p>
        </w:tc>
      </w:tr>
      <w:tr w:rsidR="001A42C1" w:rsidRPr="002D1EFA" w:rsidTr="00C04EC4">
        <w:trPr>
          <w:trHeight w:val="850"/>
        </w:trPr>
        <w:tc>
          <w:tcPr>
            <w:tcW w:w="959" w:type="dxa"/>
            <w:shd w:val="clear" w:color="auto" w:fill="BFBFBF" w:themeFill="background1" w:themeFillShade="BF"/>
            <w:vAlign w:val="center"/>
          </w:tcPr>
          <w:p w:rsidR="001A42C1" w:rsidRPr="00D8252A" w:rsidRDefault="001A42C1" w:rsidP="00972B53">
            <w:pPr>
              <w:spacing w:after="50"/>
              <w:jc w:val="left"/>
              <w:rPr>
                <w:b/>
                <w:szCs w:val="24"/>
                <w:lang w:val="en-GB"/>
              </w:rPr>
            </w:pPr>
            <w:r w:rsidRPr="00D8252A">
              <w:rPr>
                <w:b/>
                <w:szCs w:val="24"/>
                <w:lang w:val="en-GB"/>
              </w:rPr>
              <w:t>Code</w:t>
            </w:r>
          </w:p>
        </w:tc>
        <w:tc>
          <w:tcPr>
            <w:tcW w:w="1276" w:type="dxa"/>
            <w:shd w:val="clear" w:color="auto" w:fill="BFBFBF" w:themeFill="background1" w:themeFillShade="BF"/>
            <w:vAlign w:val="center"/>
          </w:tcPr>
          <w:p w:rsidR="001A42C1" w:rsidRPr="002D1EFA" w:rsidRDefault="001A42C1" w:rsidP="00972B53">
            <w:pPr>
              <w:spacing w:after="50"/>
              <w:jc w:val="center"/>
              <w:rPr>
                <w:b/>
                <w:bCs/>
                <w:color w:val="000000" w:themeColor="text1"/>
                <w:sz w:val="20"/>
              </w:rPr>
            </w:pPr>
            <w:r w:rsidRPr="002D1EFA">
              <w:rPr>
                <w:b/>
                <w:bCs/>
                <w:color w:val="000000" w:themeColor="text1"/>
                <w:sz w:val="20"/>
              </w:rPr>
              <w:t>Expected</w:t>
            </w:r>
          </w:p>
        </w:tc>
        <w:tc>
          <w:tcPr>
            <w:tcW w:w="1275" w:type="dxa"/>
            <w:shd w:val="clear" w:color="auto" w:fill="BFBFBF" w:themeFill="background1" w:themeFillShade="BF"/>
            <w:vAlign w:val="center"/>
          </w:tcPr>
          <w:p w:rsidR="001A42C1" w:rsidRPr="002D1EFA" w:rsidRDefault="001A42C1" w:rsidP="00972B53">
            <w:pPr>
              <w:spacing w:after="50"/>
              <w:jc w:val="center"/>
              <w:rPr>
                <w:b/>
                <w:bCs/>
                <w:iCs/>
                <w:color w:val="000000" w:themeColor="text1"/>
                <w:sz w:val="20"/>
              </w:rPr>
            </w:pPr>
            <w:r w:rsidRPr="002D1EFA">
              <w:rPr>
                <w:b/>
                <w:bCs/>
                <w:iCs/>
                <w:color w:val="000000" w:themeColor="text1"/>
                <w:sz w:val="20"/>
              </w:rPr>
              <w:t>Measured</w:t>
            </w:r>
          </w:p>
        </w:tc>
        <w:tc>
          <w:tcPr>
            <w:tcW w:w="1276" w:type="dxa"/>
            <w:shd w:val="clear" w:color="auto" w:fill="BFBFBF" w:themeFill="background1" w:themeFillShade="BF"/>
            <w:vAlign w:val="center"/>
          </w:tcPr>
          <w:p w:rsidR="001A42C1" w:rsidRPr="002D1EFA" w:rsidRDefault="001A42C1" w:rsidP="00972B53">
            <w:pPr>
              <w:spacing w:after="50"/>
              <w:jc w:val="center"/>
              <w:rPr>
                <w:b/>
                <w:bCs/>
                <w:color w:val="000000" w:themeColor="text1"/>
                <w:sz w:val="20"/>
              </w:rPr>
            </w:pPr>
            <w:r w:rsidRPr="002D1EFA">
              <w:rPr>
                <w:b/>
                <w:bCs/>
                <w:color w:val="000000" w:themeColor="text1"/>
                <w:sz w:val="20"/>
              </w:rPr>
              <w:t>Expected</w:t>
            </w:r>
          </w:p>
        </w:tc>
        <w:tc>
          <w:tcPr>
            <w:tcW w:w="1418" w:type="dxa"/>
            <w:shd w:val="clear" w:color="auto" w:fill="BFBFBF" w:themeFill="background1" w:themeFillShade="BF"/>
            <w:vAlign w:val="center"/>
          </w:tcPr>
          <w:p w:rsidR="001A42C1" w:rsidRPr="002D1EFA" w:rsidRDefault="001A42C1" w:rsidP="00972B53">
            <w:pPr>
              <w:spacing w:after="50"/>
              <w:jc w:val="center"/>
              <w:rPr>
                <w:b/>
                <w:bCs/>
                <w:iCs/>
                <w:color w:val="000000" w:themeColor="text1"/>
                <w:sz w:val="20"/>
              </w:rPr>
            </w:pPr>
            <w:r w:rsidRPr="002D1EFA">
              <w:rPr>
                <w:b/>
                <w:bCs/>
                <w:iCs/>
                <w:color w:val="000000" w:themeColor="text1"/>
                <w:sz w:val="20"/>
              </w:rPr>
              <w:t>Measured</w:t>
            </w:r>
          </w:p>
        </w:tc>
        <w:tc>
          <w:tcPr>
            <w:tcW w:w="1275" w:type="dxa"/>
            <w:shd w:val="clear" w:color="auto" w:fill="BFBFBF" w:themeFill="background1" w:themeFillShade="BF"/>
            <w:vAlign w:val="center"/>
          </w:tcPr>
          <w:p w:rsidR="001A42C1" w:rsidRPr="002D1EFA" w:rsidRDefault="001A42C1" w:rsidP="00972B53">
            <w:pPr>
              <w:spacing w:after="50"/>
              <w:jc w:val="center"/>
              <w:rPr>
                <w:b/>
                <w:bCs/>
                <w:color w:val="000000" w:themeColor="text1"/>
                <w:sz w:val="20"/>
              </w:rPr>
            </w:pPr>
            <w:r w:rsidRPr="002D1EFA">
              <w:rPr>
                <w:b/>
                <w:bCs/>
                <w:color w:val="000000" w:themeColor="text1"/>
                <w:sz w:val="20"/>
              </w:rPr>
              <w:t>Expected</w:t>
            </w:r>
          </w:p>
        </w:tc>
        <w:tc>
          <w:tcPr>
            <w:tcW w:w="1418" w:type="dxa"/>
            <w:shd w:val="clear" w:color="auto" w:fill="BFBFBF" w:themeFill="background1" w:themeFillShade="BF"/>
            <w:vAlign w:val="center"/>
          </w:tcPr>
          <w:p w:rsidR="001A42C1" w:rsidRPr="002D1EFA" w:rsidRDefault="001A42C1" w:rsidP="00972B53">
            <w:pPr>
              <w:spacing w:after="50"/>
              <w:jc w:val="center"/>
              <w:rPr>
                <w:b/>
                <w:bCs/>
                <w:iCs/>
                <w:color w:val="000000" w:themeColor="text1"/>
                <w:sz w:val="20"/>
              </w:rPr>
            </w:pPr>
            <w:r w:rsidRPr="002D1EFA">
              <w:rPr>
                <w:b/>
                <w:bCs/>
                <w:iCs/>
                <w:color w:val="000000" w:themeColor="text1"/>
                <w:sz w:val="20"/>
              </w:rPr>
              <w:t>Measured</w:t>
            </w:r>
          </w:p>
        </w:tc>
      </w:tr>
      <w:tr w:rsidR="001A42C1" w:rsidRPr="006B1D33" w:rsidTr="000C0FB5">
        <w:trPr>
          <w:trHeight w:val="850"/>
        </w:trPr>
        <w:tc>
          <w:tcPr>
            <w:tcW w:w="959" w:type="dxa"/>
            <w:vAlign w:val="center"/>
          </w:tcPr>
          <w:p w:rsidR="001A42C1" w:rsidRPr="007E559D" w:rsidRDefault="001A42C1" w:rsidP="00972B53">
            <w:pPr>
              <w:spacing w:after="50"/>
              <w:jc w:val="left"/>
              <w:rPr>
                <w:b/>
                <w:color w:val="000000" w:themeColor="text1"/>
                <w:lang w:val="en-GB"/>
              </w:rPr>
            </w:pPr>
            <w:r w:rsidRPr="007E559D">
              <w:rPr>
                <w:b/>
                <w:color w:val="000000" w:themeColor="text1"/>
                <w:lang w:val="en-GB"/>
              </w:rPr>
              <w:t>AZ</w:t>
            </w:r>
          </w:p>
        </w:tc>
        <w:tc>
          <w:tcPr>
            <w:tcW w:w="1276" w:type="dxa"/>
            <w:shd w:val="clear" w:color="auto" w:fill="000000" w:themeFill="text1"/>
            <w:vAlign w:val="center"/>
          </w:tcPr>
          <w:p w:rsidR="001A42C1" w:rsidRPr="007E559D" w:rsidRDefault="00F221E6" w:rsidP="00972B53">
            <w:pPr>
              <w:spacing w:after="50"/>
              <w:jc w:val="center"/>
              <w:rPr>
                <w:color w:val="000000" w:themeColor="text1"/>
                <w:sz w:val="20"/>
              </w:rPr>
            </w:pPr>
            <w:r w:rsidRPr="007E559D">
              <w:rPr>
                <w:color w:val="000000" w:themeColor="text1"/>
                <w:sz w:val="20"/>
              </w:rPr>
              <w:t>-</w:t>
            </w:r>
          </w:p>
        </w:tc>
        <w:tc>
          <w:tcPr>
            <w:tcW w:w="1275" w:type="dxa"/>
            <w:shd w:val="clear" w:color="auto" w:fill="000000" w:themeFill="text1"/>
            <w:vAlign w:val="center"/>
          </w:tcPr>
          <w:p w:rsidR="001A42C1" w:rsidRPr="007E559D" w:rsidRDefault="00F221E6" w:rsidP="00972B53">
            <w:pPr>
              <w:spacing w:after="50"/>
              <w:jc w:val="center"/>
              <w:rPr>
                <w:color w:val="000000" w:themeColor="text1"/>
                <w:szCs w:val="24"/>
              </w:rPr>
            </w:pPr>
            <w:r w:rsidRPr="007E559D">
              <w:rPr>
                <w:color w:val="000000" w:themeColor="text1"/>
                <w:szCs w:val="24"/>
              </w:rPr>
              <w:t>-</w:t>
            </w:r>
          </w:p>
        </w:tc>
        <w:tc>
          <w:tcPr>
            <w:tcW w:w="1276" w:type="dxa"/>
            <w:shd w:val="clear" w:color="auto" w:fill="000000" w:themeFill="text1"/>
            <w:vAlign w:val="center"/>
          </w:tcPr>
          <w:p w:rsidR="001A42C1" w:rsidRPr="007E559D" w:rsidRDefault="00F221E6" w:rsidP="00972B53">
            <w:pPr>
              <w:spacing w:after="50"/>
              <w:jc w:val="center"/>
              <w:rPr>
                <w:color w:val="000000" w:themeColor="text1"/>
                <w:sz w:val="20"/>
              </w:rPr>
            </w:pPr>
            <w:r w:rsidRPr="007E559D">
              <w:rPr>
                <w:color w:val="000000" w:themeColor="text1"/>
                <w:sz w:val="20"/>
              </w:rPr>
              <w:t>-</w:t>
            </w:r>
          </w:p>
        </w:tc>
        <w:tc>
          <w:tcPr>
            <w:tcW w:w="1418" w:type="dxa"/>
            <w:shd w:val="clear" w:color="auto" w:fill="000000" w:themeFill="text1"/>
            <w:vAlign w:val="center"/>
          </w:tcPr>
          <w:p w:rsidR="001A42C1" w:rsidRPr="007E559D" w:rsidRDefault="00F221E6" w:rsidP="00972B53">
            <w:pPr>
              <w:spacing w:after="50"/>
              <w:jc w:val="center"/>
              <w:rPr>
                <w:color w:val="000000" w:themeColor="text1"/>
                <w:szCs w:val="24"/>
              </w:rPr>
            </w:pPr>
            <w:r w:rsidRPr="007E559D">
              <w:rPr>
                <w:color w:val="000000" w:themeColor="text1"/>
                <w:szCs w:val="24"/>
              </w:rPr>
              <w:t>-</w:t>
            </w:r>
          </w:p>
        </w:tc>
        <w:tc>
          <w:tcPr>
            <w:tcW w:w="1275" w:type="dxa"/>
            <w:shd w:val="clear" w:color="auto" w:fill="auto"/>
            <w:vAlign w:val="center"/>
          </w:tcPr>
          <w:p w:rsidR="001A42C1" w:rsidRPr="007E559D" w:rsidRDefault="006C2D7C" w:rsidP="00972B53">
            <w:pPr>
              <w:spacing w:after="50"/>
              <w:jc w:val="center"/>
              <w:rPr>
                <w:color w:val="000000" w:themeColor="text1"/>
                <w:sz w:val="20"/>
              </w:rPr>
            </w:pPr>
            <w:r w:rsidRPr="007E559D">
              <w:rPr>
                <w:color w:val="000000" w:themeColor="text1"/>
                <w:sz w:val="20"/>
              </w:rPr>
              <w:t>0.5 - 2</w:t>
            </w:r>
          </w:p>
        </w:tc>
        <w:tc>
          <w:tcPr>
            <w:tcW w:w="1418" w:type="dxa"/>
            <w:shd w:val="clear" w:color="auto" w:fill="auto"/>
            <w:vAlign w:val="center"/>
          </w:tcPr>
          <w:p w:rsidR="001A42C1" w:rsidRPr="007E559D" w:rsidRDefault="001A42C1" w:rsidP="00972B53">
            <w:pPr>
              <w:spacing w:after="50"/>
              <w:jc w:val="center"/>
              <w:rPr>
                <w:color w:val="000000" w:themeColor="text1"/>
                <w:szCs w:val="24"/>
              </w:rPr>
            </w:pPr>
          </w:p>
        </w:tc>
      </w:tr>
      <w:tr w:rsidR="001A42C1" w:rsidRPr="006B1D33" w:rsidTr="007E559D">
        <w:trPr>
          <w:trHeight w:val="850"/>
        </w:trPr>
        <w:tc>
          <w:tcPr>
            <w:tcW w:w="959" w:type="dxa"/>
            <w:vAlign w:val="center"/>
          </w:tcPr>
          <w:p w:rsidR="001A42C1" w:rsidRPr="007E559D" w:rsidRDefault="001A42C1" w:rsidP="00972B53">
            <w:pPr>
              <w:spacing w:after="50"/>
              <w:jc w:val="left"/>
              <w:rPr>
                <w:b/>
                <w:color w:val="000000" w:themeColor="text1"/>
                <w:lang w:val="en-GB"/>
              </w:rPr>
            </w:pPr>
            <w:r w:rsidRPr="007E559D">
              <w:rPr>
                <w:b/>
                <w:color w:val="000000" w:themeColor="text1"/>
                <w:lang w:val="en-GB"/>
              </w:rPr>
              <w:t>CI</w:t>
            </w:r>
          </w:p>
        </w:tc>
        <w:tc>
          <w:tcPr>
            <w:tcW w:w="1276" w:type="dxa"/>
            <w:shd w:val="clear" w:color="auto" w:fill="000000" w:themeFill="text1"/>
            <w:vAlign w:val="center"/>
          </w:tcPr>
          <w:p w:rsidR="001A42C1" w:rsidRPr="007E559D" w:rsidRDefault="00F221E6" w:rsidP="00972B53">
            <w:pPr>
              <w:spacing w:after="50"/>
              <w:jc w:val="center"/>
              <w:rPr>
                <w:color w:val="000000" w:themeColor="text1"/>
                <w:sz w:val="20"/>
              </w:rPr>
            </w:pPr>
            <w:r w:rsidRPr="007E559D">
              <w:rPr>
                <w:color w:val="000000" w:themeColor="text1"/>
                <w:sz w:val="20"/>
              </w:rPr>
              <w:t>-</w:t>
            </w:r>
          </w:p>
        </w:tc>
        <w:tc>
          <w:tcPr>
            <w:tcW w:w="1275" w:type="dxa"/>
            <w:shd w:val="clear" w:color="auto" w:fill="000000" w:themeFill="text1"/>
            <w:vAlign w:val="center"/>
          </w:tcPr>
          <w:p w:rsidR="001A42C1" w:rsidRPr="007E559D" w:rsidRDefault="00F221E6" w:rsidP="00972B53">
            <w:pPr>
              <w:spacing w:after="50"/>
              <w:jc w:val="center"/>
              <w:rPr>
                <w:color w:val="000000" w:themeColor="text1"/>
                <w:szCs w:val="24"/>
              </w:rPr>
            </w:pPr>
            <w:r w:rsidRPr="007E559D">
              <w:rPr>
                <w:color w:val="000000" w:themeColor="text1"/>
                <w:szCs w:val="24"/>
              </w:rPr>
              <w:t>-</w:t>
            </w:r>
          </w:p>
        </w:tc>
        <w:tc>
          <w:tcPr>
            <w:tcW w:w="1276" w:type="dxa"/>
            <w:shd w:val="clear" w:color="auto" w:fill="auto"/>
            <w:vAlign w:val="center"/>
          </w:tcPr>
          <w:p w:rsidR="001A42C1" w:rsidRPr="007E559D" w:rsidRDefault="00F221E6" w:rsidP="00972B53">
            <w:pPr>
              <w:spacing w:after="50"/>
              <w:jc w:val="center"/>
              <w:rPr>
                <w:color w:val="000000" w:themeColor="text1"/>
                <w:sz w:val="20"/>
              </w:rPr>
            </w:pPr>
            <w:r w:rsidRPr="007E559D">
              <w:rPr>
                <w:color w:val="000000" w:themeColor="text1"/>
                <w:sz w:val="20"/>
              </w:rPr>
              <w:t>0.25 - 1</w:t>
            </w:r>
          </w:p>
        </w:tc>
        <w:tc>
          <w:tcPr>
            <w:tcW w:w="1418" w:type="dxa"/>
            <w:shd w:val="clear" w:color="auto" w:fill="auto"/>
            <w:vAlign w:val="center"/>
          </w:tcPr>
          <w:p w:rsidR="001A42C1" w:rsidRPr="007E559D" w:rsidRDefault="001A42C1" w:rsidP="00972B53">
            <w:pPr>
              <w:spacing w:after="50"/>
              <w:jc w:val="center"/>
              <w:rPr>
                <w:color w:val="000000" w:themeColor="text1"/>
                <w:szCs w:val="24"/>
              </w:rPr>
            </w:pPr>
          </w:p>
        </w:tc>
        <w:tc>
          <w:tcPr>
            <w:tcW w:w="1275" w:type="dxa"/>
            <w:shd w:val="clear" w:color="auto" w:fill="000000" w:themeFill="text1"/>
            <w:vAlign w:val="center"/>
          </w:tcPr>
          <w:p w:rsidR="001A42C1" w:rsidRPr="007E559D" w:rsidRDefault="00F221E6" w:rsidP="00972B53">
            <w:pPr>
              <w:spacing w:after="50"/>
              <w:jc w:val="center"/>
              <w:rPr>
                <w:color w:val="000000" w:themeColor="text1"/>
                <w:sz w:val="20"/>
              </w:rPr>
            </w:pPr>
            <w:r w:rsidRPr="007E559D">
              <w:rPr>
                <w:color w:val="000000" w:themeColor="text1"/>
                <w:sz w:val="20"/>
              </w:rPr>
              <w:t>-</w:t>
            </w:r>
          </w:p>
        </w:tc>
        <w:tc>
          <w:tcPr>
            <w:tcW w:w="1418" w:type="dxa"/>
            <w:shd w:val="clear" w:color="auto" w:fill="000000" w:themeFill="text1"/>
            <w:vAlign w:val="center"/>
          </w:tcPr>
          <w:p w:rsidR="001A42C1" w:rsidRPr="007E559D" w:rsidRDefault="00F221E6" w:rsidP="00972B53">
            <w:pPr>
              <w:spacing w:after="50"/>
              <w:jc w:val="center"/>
              <w:rPr>
                <w:color w:val="000000" w:themeColor="text1"/>
                <w:szCs w:val="24"/>
              </w:rPr>
            </w:pPr>
            <w:r w:rsidRPr="007E559D">
              <w:rPr>
                <w:color w:val="000000" w:themeColor="text1"/>
                <w:szCs w:val="24"/>
              </w:rPr>
              <w:t>-</w:t>
            </w:r>
          </w:p>
        </w:tc>
      </w:tr>
      <w:tr w:rsidR="006C2D7C" w:rsidRPr="006B1D33" w:rsidTr="007E559D">
        <w:trPr>
          <w:trHeight w:val="850"/>
        </w:trPr>
        <w:tc>
          <w:tcPr>
            <w:tcW w:w="959" w:type="dxa"/>
            <w:vAlign w:val="center"/>
          </w:tcPr>
          <w:p w:rsidR="006C2D7C" w:rsidRPr="007E559D" w:rsidRDefault="006C2D7C" w:rsidP="00972B53">
            <w:pPr>
              <w:spacing w:after="50"/>
              <w:jc w:val="left"/>
              <w:rPr>
                <w:b/>
                <w:color w:val="000000" w:themeColor="text1"/>
                <w:szCs w:val="24"/>
              </w:rPr>
            </w:pPr>
            <w:r w:rsidRPr="007E559D">
              <w:rPr>
                <w:b/>
                <w:color w:val="000000" w:themeColor="text1"/>
                <w:szCs w:val="24"/>
              </w:rPr>
              <w:t>PG</w:t>
            </w:r>
          </w:p>
        </w:tc>
        <w:tc>
          <w:tcPr>
            <w:tcW w:w="1276" w:type="dxa"/>
            <w:shd w:val="clear" w:color="auto" w:fill="000000" w:themeFill="text1"/>
            <w:vAlign w:val="center"/>
          </w:tcPr>
          <w:p w:rsidR="006C2D7C" w:rsidRPr="007E559D" w:rsidRDefault="00F221E6" w:rsidP="00972B53">
            <w:pPr>
              <w:spacing w:after="50"/>
              <w:jc w:val="center"/>
              <w:rPr>
                <w:color w:val="000000" w:themeColor="text1"/>
                <w:sz w:val="20"/>
              </w:rPr>
            </w:pPr>
            <w:r w:rsidRPr="007E559D">
              <w:rPr>
                <w:color w:val="000000" w:themeColor="text1"/>
                <w:sz w:val="20"/>
              </w:rPr>
              <w:t>-</w:t>
            </w:r>
          </w:p>
        </w:tc>
        <w:tc>
          <w:tcPr>
            <w:tcW w:w="1275" w:type="dxa"/>
            <w:shd w:val="clear" w:color="auto" w:fill="000000" w:themeFill="text1"/>
            <w:vAlign w:val="center"/>
          </w:tcPr>
          <w:p w:rsidR="006C2D7C" w:rsidRPr="007E559D" w:rsidRDefault="00F221E6" w:rsidP="00972B53">
            <w:pPr>
              <w:spacing w:after="50"/>
              <w:jc w:val="center"/>
              <w:rPr>
                <w:color w:val="000000" w:themeColor="text1"/>
                <w:szCs w:val="24"/>
              </w:rPr>
            </w:pPr>
            <w:r w:rsidRPr="007E559D">
              <w:rPr>
                <w:color w:val="000000" w:themeColor="text1"/>
                <w:szCs w:val="24"/>
              </w:rPr>
              <w:t>-</w:t>
            </w:r>
          </w:p>
        </w:tc>
        <w:tc>
          <w:tcPr>
            <w:tcW w:w="1276" w:type="dxa"/>
            <w:shd w:val="clear" w:color="auto" w:fill="000000" w:themeFill="text1"/>
            <w:vAlign w:val="center"/>
          </w:tcPr>
          <w:p w:rsidR="006C2D7C" w:rsidRPr="007E559D" w:rsidRDefault="00F221E6" w:rsidP="00972B53">
            <w:pPr>
              <w:spacing w:after="50"/>
              <w:jc w:val="center"/>
              <w:rPr>
                <w:color w:val="000000" w:themeColor="text1"/>
                <w:sz w:val="20"/>
              </w:rPr>
            </w:pPr>
            <w:r w:rsidRPr="007E559D">
              <w:rPr>
                <w:color w:val="000000" w:themeColor="text1"/>
                <w:sz w:val="20"/>
              </w:rPr>
              <w:t>-</w:t>
            </w:r>
          </w:p>
        </w:tc>
        <w:tc>
          <w:tcPr>
            <w:tcW w:w="1418" w:type="dxa"/>
            <w:shd w:val="clear" w:color="auto" w:fill="000000" w:themeFill="text1"/>
            <w:vAlign w:val="center"/>
          </w:tcPr>
          <w:p w:rsidR="006C2D7C" w:rsidRPr="007E559D" w:rsidRDefault="00F221E6" w:rsidP="00972B53">
            <w:pPr>
              <w:spacing w:after="50"/>
              <w:jc w:val="center"/>
              <w:rPr>
                <w:color w:val="000000" w:themeColor="text1"/>
                <w:szCs w:val="24"/>
              </w:rPr>
            </w:pPr>
            <w:r w:rsidRPr="007E559D">
              <w:rPr>
                <w:color w:val="000000" w:themeColor="text1"/>
                <w:szCs w:val="24"/>
              </w:rPr>
              <w:t>-</w:t>
            </w:r>
          </w:p>
        </w:tc>
        <w:tc>
          <w:tcPr>
            <w:tcW w:w="1275" w:type="dxa"/>
            <w:shd w:val="clear" w:color="auto" w:fill="auto"/>
            <w:vAlign w:val="center"/>
          </w:tcPr>
          <w:p w:rsidR="006C2D7C" w:rsidRPr="007E559D" w:rsidRDefault="006C2D7C" w:rsidP="00972B53">
            <w:pPr>
              <w:spacing w:after="50"/>
              <w:jc w:val="center"/>
              <w:rPr>
                <w:color w:val="000000" w:themeColor="text1"/>
                <w:sz w:val="20"/>
              </w:rPr>
            </w:pPr>
            <w:r w:rsidRPr="007E559D">
              <w:rPr>
                <w:color w:val="000000" w:themeColor="text1"/>
                <w:sz w:val="20"/>
              </w:rPr>
              <w:t>0.25 - 1</w:t>
            </w:r>
          </w:p>
        </w:tc>
        <w:tc>
          <w:tcPr>
            <w:tcW w:w="1418" w:type="dxa"/>
            <w:shd w:val="clear" w:color="auto" w:fill="auto"/>
            <w:vAlign w:val="center"/>
          </w:tcPr>
          <w:p w:rsidR="006C2D7C" w:rsidRPr="007E559D" w:rsidRDefault="006C2D7C" w:rsidP="00972B53">
            <w:pPr>
              <w:spacing w:after="50"/>
              <w:jc w:val="center"/>
              <w:rPr>
                <w:color w:val="000000" w:themeColor="text1"/>
                <w:szCs w:val="24"/>
              </w:rPr>
            </w:pPr>
          </w:p>
        </w:tc>
      </w:tr>
      <w:tr w:rsidR="006C2D7C" w:rsidRPr="006B1D33" w:rsidTr="007E559D">
        <w:trPr>
          <w:trHeight w:val="850"/>
        </w:trPr>
        <w:tc>
          <w:tcPr>
            <w:tcW w:w="959" w:type="dxa"/>
            <w:vAlign w:val="center"/>
          </w:tcPr>
          <w:p w:rsidR="006C2D7C" w:rsidRPr="007E559D" w:rsidRDefault="006C2D7C" w:rsidP="00972B53">
            <w:pPr>
              <w:spacing w:after="50"/>
              <w:jc w:val="left"/>
              <w:rPr>
                <w:b/>
                <w:color w:val="000000" w:themeColor="text1"/>
                <w:szCs w:val="24"/>
              </w:rPr>
            </w:pPr>
            <w:r w:rsidRPr="007E559D">
              <w:rPr>
                <w:b/>
                <w:color w:val="000000" w:themeColor="text1"/>
                <w:szCs w:val="24"/>
              </w:rPr>
              <w:t>TS</w:t>
            </w:r>
          </w:p>
        </w:tc>
        <w:tc>
          <w:tcPr>
            <w:tcW w:w="1276" w:type="dxa"/>
            <w:shd w:val="clear" w:color="auto" w:fill="auto"/>
            <w:vAlign w:val="center"/>
          </w:tcPr>
          <w:p w:rsidR="006C2D7C" w:rsidRPr="007E559D" w:rsidRDefault="00F221E6" w:rsidP="00972B53">
            <w:pPr>
              <w:spacing w:after="50"/>
              <w:jc w:val="center"/>
              <w:rPr>
                <w:color w:val="000000" w:themeColor="text1"/>
                <w:sz w:val="20"/>
              </w:rPr>
            </w:pPr>
            <w:r w:rsidRPr="007E559D">
              <w:rPr>
                <w:color w:val="000000" w:themeColor="text1"/>
                <w:sz w:val="20"/>
              </w:rPr>
              <w:t>0.064 – 0.25</w:t>
            </w:r>
          </w:p>
        </w:tc>
        <w:tc>
          <w:tcPr>
            <w:tcW w:w="1275" w:type="dxa"/>
            <w:shd w:val="clear" w:color="auto" w:fill="auto"/>
            <w:vAlign w:val="center"/>
          </w:tcPr>
          <w:p w:rsidR="006C2D7C" w:rsidRPr="007E559D" w:rsidRDefault="006C2D7C" w:rsidP="00972B53">
            <w:pPr>
              <w:spacing w:after="50"/>
              <w:jc w:val="center"/>
              <w:rPr>
                <w:color w:val="000000" w:themeColor="text1"/>
                <w:szCs w:val="24"/>
              </w:rPr>
            </w:pPr>
          </w:p>
        </w:tc>
        <w:tc>
          <w:tcPr>
            <w:tcW w:w="1276" w:type="dxa"/>
            <w:shd w:val="clear" w:color="auto" w:fill="000000" w:themeFill="text1"/>
            <w:vAlign w:val="center"/>
          </w:tcPr>
          <w:p w:rsidR="006C2D7C" w:rsidRPr="007E559D" w:rsidRDefault="00F221E6" w:rsidP="00972B53">
            <w:pPr>
              <w:spacing w:after="50"/>
              <w:jc w:val="center"/>
              <w:rPr>
                <w:color w:val="000000" w:themeColor="text1"/>
                <w:sz w:val="20"/>
              </w:rPr>
            </w:pPr>
            <w:r w:rsidRPr="007E559D">
              <w:rPr>
                <w:color w:val="000000" w:themeColor="text1"/>
                <w:sz w:val="20"/>
              </w:rPr>
              <w:t>-</w:t>
            </w:r>
          </w:p>
        </w:tc>
        <w:tc>
          <w:tcPr>
            <w:tcW w:w="1418" w:type="dxa"/>
            <w:shd w:val="clear" w:color="auto" w:fill="000000" w:themeFill="text1"/>
            <w:vAlign w:val="center"/>
          </w:tcPr>
          <w:p w:rsidR="006C2D7C" w:rsidRPr="007E559D" w:rsidRDefault="00F221E6" w:rsidP="00972B53">
            <w:pPr>
              <w:spacing w:after="50"/>
              <w:jc w:val="center"/>
              <w:rPr>
                <w:color w:val="000000" w:themeColor="text1"/>
                <w:szCs w:val="24"/>
              </w:rPr>
            </w:pPr>
            <w:r w:rsidRPr="007E559D">
              <w:rPr>
                <w:color w:val="000000" w:themeColor="text1"/>
                <w:szCs w:val="24"/>
              </w:rPr>
              <w:t>-</w:t>
            </w:r>
          </w:p>
        </w:tc>
        <w:tc>
          <w:tcPr>
            <w:tcW w:w="1275" w:type="dxa"/>
            <w:shd w:val="clear" w:color="auto" w:fill="000000" w:themeFill="text1"/>
            <w:vAlign w:val="center"/>
          </w:tcPr>
          <w:p w:rsidR="006C2D7C" w:rsidRPr="007E559D" w:rsidRDefault="00F221E6" w:rsidP="00972B53">
            <w:pPr>
              <w:spacing w:after="50"/>
              <w:jc w:val="center"/>
              <w:rPr>
                <w:color w:val="000000" w:themeColor="text1"/>
                <w:sz w:val="20"/>
              </w:rPr>
            </w:pPr>
            <w:r w:rsidRPr="007E559D">
              <w:rPr>
                <w:color w:val="000000" w:themeColor="text1"/>
                <w:sz w:val="20"/>
              </w:rPr>
              <w:t>-</w:t>
            </w:r>
          </w:p>
        </w:tc>
        <w:tc>
          <w:tcPr>
            <w:tcW w:w="1418" w:type="dxa"/>
            <w:shd w:val="clear" w:color="auto" w:fill="000000" w:themeFill="text1"/>
            <w:vAlign w:val="center"/>
          </w:tcPr>
          <w:p w:rsidR="006C2D7C" w:rsidRPr="007E559D" w:rsidRDefault="00F221E6" w:rsidP="00972B53">
            <w:pPr>
              <w:spacing w:after="50"/>
              <w:jc w:val="center"/>
              <w:rPr>
                <w:color w:val="000000" w:themeColor="text1"/>
                <w:szCs w:val="24"/>
              </w:rPr>
            </w:pPr>
            <w:r w:rsidRPr="007E559D">
              <w:rPr>
                <w:color w:val="000000" w:themeColor="text1"/>
                <w:szCs w:val="24"/>
              </w:rPr>
              <w:t>-</w:t>
            </w:r>
          </w:p>
        </w:tc>
      </w:tr>
      <w:tr w:rsidR="006C2D7C" w:rsidRPr="006B1D33" w:rsidTr="007E559D">
        <w:trPr>
          <w:trHeight w:val="850"/>
        </w:trPr>
        <w:tc>
          <w:tcPr>
            <w:tcW w:w="959" w:type="dxa"/>
            <w:vAlign w:val="center"/>
          </w:tcPr>
          <w:p w:rsidR="006C2D7C" w:rsidRPr="007E559D" w:rsidRDefault="006C2D7C" w:rsidP="00972B53">
            <w:pPr>
              <w:spacing w:after="50"/>
              <w:jc w:val="left"/>
              <w:rPr>
                <w:b/>
                <w:color w:val="000000" w:themeColor="text1"/>
                <w:szCs w:val="24"/>
              </w:rPr>
            </w:pPr>
            <w:r w:rsidRPr="007E559D">
              <w:rPr>
                <w:b/>
                <w:color w:val="000000" w:themeColor="text1"/>
                <w:szCs w:val="24"/>
              </w:rPr>
              <w:t>TX</w:t>
            </w:r>
          </w:p>
        </w:tc>
        <w:tc>
          <w:tcPr>
            <w:tcW w:w="1276" w:type="dxa"/>
            <w:shd w:val="clear" w:color="auto" w:fill="000000" w:themeFill="text1"/>
            <w:vAlign w:val="center"/>
          </w:tcPr>
          <w:p w:rsidR="006C2D7C" w:rsidRPr="007E559D" w:rsidRDefault="00F221E6" w:rsidP="00972B53">
            <w:pPr>
              <w:spacing w:after="50"/>
              <w:jc w:val="center"/>
              <w:rPr>
                <w:color w:val="000000" w:themeColor="text1"/>
                <w:sz w:val="20"/>
              </w:rPr>
            </w:pPr>
            <w:r w:rsidRPr="007E559D">
              <w:rPr>
                <w:color w:val="000000" w:themeColor="text1"/>
                <w:sz w:val="20"/>
              </w:rPr>
              <w:t>-</w:t>
            </w:r>
          </w:p>
        </w:tc>
        <w:tc>
          <w:tcPr>
            <w:tcW w:w="1275" w:type="dxa"/>
            <w:shd w:val="clear" w:color="auto" w:fill="000000" w:themeFill="text1"/>
            <w:vAlign w:val="center"/>
          </w:tcPr>
          <w:p w:rsidR="006C2D7C" w:rsidRPr="007E559D" w:rsidRDefault="00F221E6" w:rsidP="00972B53">
            <w:pPr>
              <w:spacing w:after="50"/>
              <w:jc w:val="center"/>
              <w:rPr>
                <w:color w:val="000000" w:themeColor="text1"/>
                <w:szCs w:val="24"/>
              </w:rPr>
            </w:pPr>
            <w:r w:rsidRPr="007E559D">
              <w:rPr>
                <w:color w:val="000000" w:themeColor="text1"/>
                <w:szCs w:val="24"/>
              </w:rPr>
              <w:t>-</w:t>
            </w:r>
          </w:p>
        </w:tc>
        <w:tc>
          <w:tcPr>
            <w:tcW w:w="1276" w:type="dxa"/>
            <w:shd w:val="clear" w:color="auto" w:fill="000000" w:themeFill="text1"/>
            <w:vAlign w:val="center"/>
          </w:tcPr>
          <w:p w:rsidR="006C2D7C" w:rsidRPr="007E559D" w:rsidRDefault="00F221E6" w:rsidP="00972B53">
            <w:pPr>
              <w:spacing w:after="50"/>
              <w:jc w:val="center"/>
              <w:rPr>
                <w:color w:val="000000" w:themeColor="text1"/>
                <w:sz w:val="20"/>
              </w:rPr>
            </w:pPr>
            <w:r w:rsidRPr="007E559D">
              <w:rPr>
                <w:color w:val="000000" w:themeColor="text1"/>
                <w:sz w:val="20"/>
              </w:rPr>
              <w:t>-</w:t>
            </w:r>
          </w:p>
        </w:tc>
        <w:tc>
          <w:tcPr>
            <w:tcW w:w="1418" w:type="dxa"/>
            <w:shd w:val="clear" w:color="auto" w:fill="000000" w:themeFill="text1"/>
            <w:vAlign w:val="center"/>
          </w:tcPr>
          <w:p w:rsidR="006C2D7C" w:rsidRPr="007E559D" w:rsidRDefault="00F221E6" w:rsidP="00972B53">
            <w:pPr>
              <w:spacing w:after="50"/>
              <w:jc w:val="center"/>
              <w:rPr>
                <w:color w:val="000000" w:themeColor="text1"/>
                <w:szCs w:val="24"/>
              </w:rPr>
            </w:pPr>
            <w:r w:rsidRPr="007E559D">
              <w:rPr>
                <w:color w:val="000000" w:themeColor="text1"/>
                <w:szCs w:val="24"/>
              </w:rPr>
              <w:t>-</w:t>
            </w:r>
          </w:p>
        </w:tc>
        <w:tc>
          <w:tcPr>
            <w:tcW w:w="1275" w:type="dxa"/>
            <w:shd w:val="clear" w:color="auto" w:fill="auto"/>
            <w:vAlign w:val="center"/>
          </w:tcPr>
          <w:p w:rsidR="006C2D7C" w:rsidRPr="007E559D" w:rsidRDefault="006C2D7C" w:rsidP="00972B53">
            <w:pPr>
              <w:spacing w:after="50"/>
              <w:jc w:val="center"/>
              <w:rPr>
                <w:color w:val="000000" w:themeColor="text1"/>
                <w:sz w:val="20"/>
              </w:rPr>
            </w:pPr>
            <w:r w:rsidRPr="007E559D">
              <w:rPr>
                <w:color w:val="000000" w:themeColor="text1"/>
                <w:sz w:val="20"/>
              </w:rPr>
              <w:t>0.032 - 0.125</w:t>
            </w:r>
          </w:p>
        </w:tc>
        <w:tc>
          <w:tcPr>
            <w:tcW w:w="1418" w:type="dxa"/>
            <w:shd w:val="clear" w:color="auto" w:fill="auto"/>
            <w:vAlign w:val="center"/>
          </w:tcPr>
          <w:p w:rsidR="006C2D7C" w:rsidRPr="007E559D" w:rsidRDefault="006C2D7C" w:rsidP="00972B53">
            <w:pPr>
              <w:spacing w:after="50"/>
              <w:jc w:val="center"/>
              <w:rPr>
                <w:color w:val="000000" w:themeColor="text1"/>
                <w:szCs w:val="24"/>
              </w:rPr>
            </w:pPr>
          </w:p>
        </w:tc>
      </w:tr>
      <w:tr w:rsidR="006C2D7C" w:rsidRPr="006B1D33" w:rsidTr="007E559D">
        <w:trPr>
          <w:trHeight w:val="850"/>
        </w:trPr>
        <w:tc>
          <w:tcPr>
            <w:tcW w:w="959" w:type="dxa"/>
            <w:vAlign w:val="center"/>
          </w:tcPr>
          <w:p w:rsidR="006C2D7C" w:rsidRPr="007E559D" w:rsidRDefault="006C2D7C" w:rsidP="00972B53">
            <w:pPr>
              <w:spacing w:after="50"/>
              <w:jc w:val="left"/>
              <w:rPr>
                <w:b/>
                <w:color w:val="000000" w:themeColor="text1"/>
                <w:szCs w:val="24"/>
              </w:rPr>
            </w:pPr>
            <w:r w:rsidRPr="007E559D">
              <w:rPr>
                <w:b/>
                <w:color w:val="000000" w:themeColor="text1"/>
                <w:szCs w:val="24"/>
              </w:rPr>
              <w:t>VA</w:t>
            </w:r>
          </w:p>
        </w:tc>
        <w:tc>
          <w:tcPr>
            <w:tcW w:w="1276" w:type="dxa"/>
            <w:shd w:val="clear" w:color="auto" w:fill="000000" w:themeFill="text1"/>
            <w:vAlign w:val="center"/>
          </w:tcPr>
          <w:p w:rsidR="006C2D7C" w:rsidRPr="007E559D" w:rsidRDefault="00F221E6" w:rsidP="00972B53">
            <w:pPr>
              <w:spacing w:after="50"/>
              <w:jc w:val="center"/>
              <w:rPr>
                <w:color w:val="000000" w:themeColor="text1"/>
                <w:sz w:val="20"/>
              </w:rPr>
            </w:pPr>
            <w:r w:rsidRPr="007E559D">
              <w:rPr>
                <w:color w:val="000000" w:themeColor="text1"/>
                <w:sz w:val="20"/>
              </w:rPr>
              <w:t>-</w:t>
            </w:r>
          </w:p>
        </w:tc>
        <w:tc>
          <w:tcPr>
            <w:tcW w:w="1275" w:type="dxa"/>
            <w:shd w:val="clear" w:color="auto" w:fill="000000" w:themeFill="text1"/>
            <w:vAlign w:val="center"/>
          </w:tcPr>
          <w:p w:rsidR="006C2D7C" w:rsidRPr="007E559D" w:rsidRDefault="00F221E6" w:rsidP="00972B53">
            <w:pPr>
              <w:spacing w:after="50"/>
              <w:jc w:val="center"/>
              <w:rPr>
                <w:color w:val="000000" w:themeColor="text1"/>
                <w:szCs w:val="24"/>
              </w:rPr>
            </w:pPr>
            <w:r w:rsidRPr="007E559D">
              <w:rPr>
                <w:color w:val="000000" w:themeColor="text1"/>
                <w:szCs w:val="24"/>
              </w:rPr>
              <w:t>-</w:t>
            </w:r>
          </w:p>
        </w:tc>
        <w:tc>
          <w:tcPr>
            <w:tcW w:w="1276" w:type="dxa"/>
            <w:shd w:val="clear" w:color="auto" w:fill="000000" w:themeFill="text1"/>
            <w:vAlign w:val="center"/>
          </w:tcPr>
          <w:p w:rsidR="006C2D7C" w:rsidRPr="007E559D" w:rsidRDefault="00F221E6" w:rsidP="00972B53">
            <w:pPr>
              <w:spacing w:after="50"/>
              <w:jc w:val="center"/>
              <w:rPr>
                <w:color w:val="000000" w:themeColor="text1"/>
                <w:sz w:val="20"/>
              </w:rPr>
            </w:pPr>
            <w:r w:rsidRPr="007E559D">
              <w:rPr>
                <w:color w:val="000000" w:themeColor="text1"/>
                <w:sz w:val="20"/>
              </w:rPr>
              <w:t>-</w:t>
            </w:r>
          </w:p>
        </w:tc>
        <w:tc>
          <w:tcPr>
            <w:tcW w:w="1418" w:type="dxa"/>
            <w:shd w:val="clear" w:color="auto" w:fill="000000" w:themeFill="text1"/>
            <w:vAlign w:val="center"/>
          </w:tcPr>
          <w:p w:rsidR="006C2D7C" w:rsidRPr="007E559D" w:rsidRDefault="00F221E6" w:rsidP="00972B53">
            <w:pPr>
              <w:spacing w:after="50"/>
              <w:jc w:val="center"/>
              <w:rPr>
                <w:color w:val="000000" w:themeColor="text1"/>
                <w:szCs w:val="24"/>
              </w:rPr>
            </w:pPr>
            <w:r w:rsidRPr="007E559D">
              <w:rPr>
                <w:color w:val="000000" w:themeColor="text1"/>
                <w:szCs w:val="24"/>
              </w:rPr>
              <w:t>-</w:t>
            </w:r>
          </w:p>
        </w:tc>
        <w:tc>
          <w:tcPr>
            <w:tcW w:w="1275" w:type="dxa"/>
            <w:shd w:val="clear" w:color="auto" w:fill="auto"/>
            <w:vAlign w:val="center"/>
          </w:tcPr>
          <w:p w:rsidR="006C2D7C" w:rsidRPr="007E559D" w:rsidRDefault="00F221E6" w:rsidP="00972B53">
            <w:pPr>
              <w:spacing w:after="50"/>
              <w:jc w:val="center"/>
              <w:rPr>
                <w:color w:val="000000" w:themeColor="text1"/>
                <w:sz w:val="20"/>
              </w:rPr>
            </w:pPr>
            <w:r w:rsidRPr="007E559D">
              <w:rPr>
                <w:color w:val="000000" w:themeColor="text1"/>
                <w:sz w:val="20"/>
              </w:rPr>
              <w:t>0.125 – 0.5</w:t>
            </w:r>
          </w:p>
        </w:tc>
        <w:tc>
          <w:tcPr>
            <w:tcW w:w="1418" w:type="dxa"/>
            <w:shd w:val="clear" w:color="auto" w:fill="auto"/>
            <w:vAlign w:val="center"/>
          </w:tcPr>
          <w:p w:rsidR="006C2D7C" w:rsidRPr="007E559D" w:rsidRDefault="006C2D7C" w:rsidP="00972B53">
            <w:pPr>
              <w:spacing w:after="50"/>
              <w:jc w:val="center"/>
              <w:rPr>
                <w:color w:val="000000" w:themeColor="text1"/>
                <w:szCs w:val="24"/>
              </w:rPr>
            </w:pPr>
          </w:p>
        </w:tc>
      </w:tr>
    </w:tbl>
    <w:p w:rsidR="002B171B" w:rsidRDefault="002B171B" w:rsidP="002B171B">
      <w:pPr>
        <w:pStyle w:val="Heading1"/>
        <w:rPr>
          <w:lang w:val="en-GB"/>
        </w:rPr>
      </w:pPr>
      <w:r>
        <w:rPr>
          <w:lang w:val="en-GB"/>
        </w:rPr>
        <w:t xml:space="preserve">Appendix </w:t>
      </w:r>
      <w:r w:rsidR="00160641">
        <w:rPr>
          <w:lang w:val="en-GB"/>
        </w:rPr>
        <w:t>2</w:t>
      </w:r>
      <w:r>
        <w:rPr>
          <w:lang w:val="en-GB"/>
        </w:rPr>
        <w:t xml:space="preserve">: </w:t>
      </w:r>
      <w:proofErr w:type="spellStart"/>
      <w:r>
        <w:rPr>
          <w:lang w:val="en-GB"/>
        </w:rPr>
        <w:t>Etest</w:t>
      </w:r>
      <w:proofErr w:type="spellEnd"/>
      <w:r>
        <w:rPr>
          <w:lang w:val="en-GB"/>
        </w:rPr>
        <w:t xml:space="preserve"> reading guide</w:t>
      </w:r>
    </w:p>
    <w:p w:rsidR="00BF4A7B" w:rsidRPr="002B171B" w:rsidRDefault="00BF4A7B" w:rsidP="002B171B">
      <w:pPr>
        <w:rPr>
          <w:rFonts w:ascii="Century Gothic" w:eastAsia="Times New Roman" w:hAnsi="Century Gothic"/>
          <w:lang w:val="en-GB"/>
        </w:rPr>
      </w:pPr>
      <w:bookmarkStart w:id="2" w:name="_GoBack"/>
      <w:bookmarkEnd w:id="2"/>
    </w:p>
    <w:sectPr w:rsidR="00BF4A7B" w:rsidRPr="002B171B"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C7" w:rsidRDefault="001365C7" w:rsidP="00D219C6">
      <w:r>
        <w:separator/>
      </w:r>
    </w:p>
  </w:endnote>
  <w:endnote w:type="continuationSeparator" w:id="0">
    <w:p w:rsidR="001365C7" w:rsidRDefault="001365C7"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rmataBQ-Regular">
    <w:altName w:val="FormataBQ-Regular"/>
    <w:panose1 w:val="00000000000000000000"/>
    <w:charset w:val="00"/>
    <w:family w:val="swiss"/>
    <w:notTrueType/>
    <w:pitch w:val="default"/>
    <w:sig w:usb0="00000003" w:usb1="00000000" w:usb2="00000000" w:usb3="00000000" w:csb0="00000001" w:csb1="00000000"/>
  </w:font>
  <w:font w:name="FormataBQ-Bold">
    <w:altName w:val="FormataBQ-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DF3718">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ED1D09">
      <w:rPr>
        <w:rFonts w:ascii="Century Gothic" w:hAnsi="Century Gothic"/>
        <w:noProof/>
        <w:lang w:val="en-GB"/>
      </w:rPr>
      <w:t>2</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ED1D09">
      <w:rPr>
        <w:rFonts w:ascii="Century Gothic" w:hAnsi="Century Gothic"/>
        <w:noProof/>
        <w:lang w:val="en-GB"/>
      </w:rPr>
      <w:t>10</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C7" w:rsidRDefault="001365C7" w:rsidP="00D219C6">
      <w:r>
        <w:separator/>
      </w:r>
    </w:p>
  </w:footnote>
  <w:footnote w:type="continuationSeparator" w:id="0">
    <w:p w:rsidR="001365C7" w:rsidRDefault="001365C7"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72" w:rsidRPr="00D91572" w:rsidRDefault="00D91572">
    <w:pPr>
      <w:rPr>
        <w:sz w:val="20"/>
      </w:rPr>
    </w:pPr>
    <w:r w:rsidRPr="00D91572">
      <w:rPr>
        <w:noProof/>
        <w:sz w:val="20"/>
        <w:lang w:val="en-GB" w:eastAsia="en-GB"/>
      </w:rPr>
      <mc:AlternateContent>
        <mc:Choice Requires="wps">
          <w:drawing>
            <wp:anchor distT="0" distB="0" distL="114300" distR="114300" simplePos="0" relativeHeight="251658240" behindDoc="0" locked="0" layoutInCell="1" allowOverlap="1" wp14:anchorId="4F2D7FF0" wp14:editId="1F91F4B4">
              <wp:simplePos x="0" y="0"/>
              <wp:positionH relativeFrom="margin">
                <wp:posOffset>2942590</wp:posOffset>
              </wp:positionH>
              <wp:positionV relativeFrom="paragraph">
                <wp:posOffset>-86995</wp:posOffset>
              </wp:positionV>
              <wp:extent cx="3067050" cy="5251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572" w:rsidRDefault="00D91572" w:rsidP="00D91572">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left:0;text-align:left;margin-left:231.7pt;margin-top:-6.85pt;width:241.5pt;height:4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M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" stroked="f">
              <v:textbox>
                <w:txbxContent>
                  <w:p w:rsidR="00D91572" w:rsidRDefault="00D91572" w:rsidP="00D91572">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D91572">
      <w:rPr>
        <w:rFonts w:ascii="Times New Roman" w:hAnsi="Times New Roman" w:cs="Times New Roman"/>
        <w:noProof/>
        <w:sz w:val="20"/>
        <w:szCs w:val="24"/>
        <w:lang w:val="en-GB" w:eastAsia="en-GB"/>
      </w:rPr>
      <w:drawing>
        <wp:anchor distT="0" distB="0" distL="114300" distR="114300" simplePos="0" relativeHeight="251659264" behindDoc="0" locked="0" layoutInCell="1" allowOverlap="1" wp14:anchorId="75490A62" wp14:editId="0E204991">
          <wp:simplePos x="0" y="0"/>
          <wp:positionH relativeFrom="margin">
            <wp:posOffset>-527050</wp:posOffset>
          </wp:positionH>
          <wp:positionV relativeFrom="margin">
            <wp:posOffset>-2394585</wp:posOffset>
          </wp:positionV>
          <wp:extent cx="1520190" cy="734695"/>
          <wp:effectExtent l="0" t="0" r="3810" b="8255"/>
          <wp:wrapSquare wrapText="bothSides"/>
          <wp:docPr id="3" name="Picture 3"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D91572" w:rsidRPr="00D91572" w:rsidRDefault="00D91572">
    <w:pPr>
      <w:rPr>
        <w:sz w:val="20"/>
      </w:rPr>
    </w:pPr>
  </w:p>
  <w:p w:rsidR="00D91572" w:rsidRPr="00D91572" w:rsidRDefault="00D91572">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417A00" w:rsidP="00CC6C24">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 xml:space="preserve">Antimicrobial </w:t>
          </w:r>
          <w:r w:rsidR="00CC6C24">
            <w:rPr>
              <w:rFonts w:ascii="Century Gothic" w:eastAsia="Times New Roman" w:hAnsi="Century Gothic" w:cs="Arial"/>
              <w:smallCaps/>
              <w:color w:val="auto"/>
              <w:sz w:val="24"/>
              <w:szCs w:val="24"/>
              <w:lang w:val="en-GB"/>
            </w:rPr>
            <w:t>Sensitivity Testing -</w:t>
          </w:r>
          <w:r>
            <w:rPr>
              <w:rFonts w:ascii="Century Gothic" w:eastAsia="Times New Roman" w:hAnsi="Century Gothic" w:cs="Arial"/>
              <w:smallCaps/>
              <w:color w:val="auto"/>
              <w:sz w:val="24"/>
              <w:szCs w:val="24"/>
              <w:lang w:val="en-GB"/>
            </w:rPr>
            <w:t xml:space="preserve"> Etest</w:t>
          </w:r>
        </w:p>
      </w:tc>
    </w:tr>
    <w:tr w:rsidR="00FB0AA3" w:rsidRPr="00983F5B" w:rsidTr="0073622C">
      <w:trPr>
        <w:jc w:val="center"/>
      </w:trPr>
      <w:tc>
        <w:tcPr>
          <w:tcW w:w="2551" w:type="dxa"/>
          <w:tcBorders>
            <w:top w:val="single" w:sz="4" w:space="0" w:color="auto"/>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w:t>
          </w:r>
          <w:r w:rsidR="0073622C" w:rsidRPr="00983F5B">
            <w:rPr>
              <w:rFonts w:ascii="Century Gothic" w:hAnsi="Century Gothic"/>
              <w:sz w:val="16"/>
              <w:szCs w:val="16"/>
              <w:lang w:val="en-GB"/>
            </w:rPr>
            <w:t xml:space="preserve"> / version</w:t>
          </w:r>
          <w:r w:rsidRPr="00983F5B">
            <w:rPr>
              <w:rFonts w:ascii="Century Gothic" w:hAnsi="Century Gothic"/>
              <w:sz w:val="16"/>
              <w:szCs w:val="16"/>
              <w:lang w:val="en-GB"/>
            </w:rPr>
            <w:t>:</w:t>
          </w:r>
        </w:p>
      </w:tc>
      <w:tc>
        <w:tcPr>
          <w:tcW w:w="2552" w:type="dxa"/>
          <w:tcBorders>
            <w:top w:val="single" w:sz="4" w:space="0" w:color="auto"/>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DD0470" w:rsidRPr="00983F5B" w:rsidRDefault="00DD0470"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DD0470" w:rsidRPr="00983F5B" w:rsidRDefault="00417A00"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FB0AA3" w:rsidRPr="00983F5B" w:rsidTr="0073622C">
      <w:trPr>
        <w:jc w:val="center"/>
      </w:trPr>
      <w:tc>
        <w:tcPr>
          <w:tcW w:w="2551" w:type="dxa"/>
          <w:tcBorders>
            <w:top w:val="nil"/>
            <w:left w:val="single" w:sz="4" w:space="0" w:color="auto"/>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B0AA3" w:rsidRPr="00983F5B" w:rsidRDefault="00417A00"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Microbiology laboratory</w:t>
          </w:r>
        </w:p>
      </w:tc>
      <w:tc>
        <w:tcPr>
          <w:tcW w:w="2552" w:type="dxa"/>
          <w:tcBorders>
            <w:top w:val="nil"/>
            <w:left w:val="nil"/>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single" w:sz="4" w:space="0" w:color="auto"/>
            <w:right w:val="nil"/>
          </w:tcBorders>
        </w:tcPr>
        <w:p w:rsidR="00FB0AA3" w:rsidRPr="00983F5B" w:rsidRDefault="00D91572"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B0AA3"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bl>
  <w:p w:rsidR="00E211A0" w:rsidRPr="00D91572"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72" w:rsidRPr="00D91572" w:rsidRDefault="00D91572">
    <w:pPr>
      <w:rPr>
        <w:sz w:val="20"/>
      </w:rPr>
    </w:pPr>
    <w:r w:rsidRPr="00D91572">
      <w:rPr>
        <w:noProof/>
        <w:sz w:val="20"/>
        <w:lang w:val="en-GB" w:eastAsia="en-GB"/>
      </w:rPr>
      <mc:AlternateContent>
        <mc:Choice Requires="wps">
          <w:drawing>
            <wp:anchor distT="0" distB="0" distL="114300" distR="114300" simplePos="0" relativeHeight="251662336" behindDoc="0" locked="0" layoutInCell="1" allowOverlap="1" wp14:anchorId="4246C669" wp14:editId="30366F28">
              <wp:simplePos x="0" y="0"/>
              <wp:positionH relativeFrom="margin">
                <wp:posOffset>2942590</wp:posOffset>
              </wp:positionH>
              <wp:positionV relativeFrom="paragraph">
                <wp:posOffset>-67945</wp:posOffset>
              </wp:positionV>
              <wp:extent cx="3067050" cy="52514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572" w:rsidRDefault="00D91572" w:rsidP="00D91572">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left:0;text-align:left;margin-left:231.7pt;margin-top:-5.35pt;width:241.5pt;height:4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GFhAIAABY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" stroked="f">
              <v:textbox>
                <w:txbxContent>
                  <w:p w:rsidR="00D91572" w:rsidRDefault="00D91572" w:rsidP="00D91572">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D91572">
      <w:rPr>
        <w:rFonts w:ascii="Times New Roman" w:hAnsi="Times New Roman" w:cs="Times New Roman"/>
        <w:noProof/>
        <w:sz w:val="20"/>
        <w:szCs w:val="24"/>
        <w:lang w:val="en-GB" w:eastAsia="en-GB"/>
      </w:rPr>
      <w:drawing>
        <wp:anchor distT="0" distB="0" distL="114300" distR="114300" simplePos="0" relativeHeight="251661312" behindDoc="0" locked="0" layoutInCell="1" allowOverlap="1" wp14:anchorId="2E1C85F2" wp14:editId="174B63F7">
          <wp:simplePos x="0" y="0"/>
          <wp:positionH relativeFrom="margin">
            <wp:posOffset>-536575</wp:posOffset>
          </wp:positionH>
          <wp:positionV relativeFrom="margin">
            <wp:posOffset>-1832610</wp:posOffset>
          </wp:positionV>
          <wp:extent cx="1520190" cy="734695"/>
          <wp:effectExtent l="0" t="0" r="3810" b="8255"/>
          <wp:wrapSquare wrapText="bothSides"/>
          <wp:docPr id="5" name="Picture 5"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D91572" w:rsidRPr="00D91572" w:rsidRDefault="00D91572">
    <w:pPr>
      <w:rPr>
        <w:sz w:val="20"/>
      </w:rPr>
    </w:pPr>
  </w:p>
  <w:p w:rsidR="00D91572" w:rsidRPr="00D91572" w:rsidRDefault="00D91572">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lang w:val="en-GB"/>
            </w:rPr>
          </w:pPr>
          <w:r w:rsidRPr="00405ACC">
            <w:rPr>
              <w:rFonts w:ascii="Century Gothic" w:eastAsia="Times New Roman" w:hAnsi="Century Gothic" w:cs="Arial"/>
              <w:smallCaps/>
              <w:color w:val="auto"/>
              <w:lang w:val="en-GB"/>
            </w:rPr>
            <w:t>Antimicrobial Sensitivity Testing</w:t>
          </w:r>
          <w:r w:rsidR="00250F1D">
            <w:rPr>
              <w:rFonts w:ascii="Century Gothic" w:eastAsia="Times New Roman" w:hAnsi="Century Gothic" w:cs="Arial"/>
              <w:smallCaps/>
              <w:color w:val="auto"/>
              <w:lang w:val="en-GB"/>
            </w:rPr>
            <w:t xml:space="preserve"> - Etest</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D91572"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387"/>
    <w:multiLevelType w:val="hybridMultilevel"/>
    <w:tmpl w:val="B2001D0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63BA"/>
    <w:multiLevelType w:val="hybridMultilevel"/>
    <w:tmpl w:val="D4B26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04BB0"/>
    <w:multiLevelType w:val="hybridMultilevel"/>
    <w:tmpl w:val="09BA9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834895"/>
    <w:multiLevelType w:val="hybridMultilevel"/>
    <w:tmpl w:val="A39E7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39E2DAE"/>
    <w:multiLevelType w:val="hybridMultilevel"/>
    <w:tmpl w:val="54A00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61CBB"/>
    <w:multiLevelType w:val="hybridMultilevel"/>
    <w:tmpl w:val="F6E0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A51FF"/>
    <w:multiLevelType w:val="hybridMultilevel"/>
    <w:tmpl w:val="E9F2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A250A7"/>
    <w:multiLevelType w:val="hybridMultilevel"/>
    <w:tmpl w:val="95E4C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4759A9"/>
    <w:multiLevelType w:val="hybridMultilevel"/>
    <w:tmpl w:val="B580A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E460D4"/>
    <w:multiLevelType w:val="hybridMultilevel"/>
    <w:tmpl w:val="F7C8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7C2C4B"/>
    <w:multiLevelType w:val="hybridMultilevel"/>
    <w:tmpl w:val="15FEFA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8B839FF"/>
    <w:multiLevelType w:val="hybridMultilevel"/>
    <w:tmpl w:val="53986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7B3407"/>
    <w:multiLevelType w:val="hybridMultilevel"/>
    <w:tmpl w:val="3EEA2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5935CAD"/>
    <w:multiLevelType w:val="hybridMultilevel"/>
    <w:tmpl w:val="314C9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16"/>
  </w:num>
  <w:num w:numId="6">
    <w:abstractNumId w:val="7"/>
  </w:num>
  <w:num w:numId="7">
    <w:abstractNumId w:val="15"/>
  </w:num>
  <w:num w:numId="8">
    <w:abstractNumId w:val="8"/>
  </w:num>
  <w:num w:numId="9">
    <w:abstractNumId w:val="9"/>
  </w:num>
  <w:num w:numId="10">
    <w:abstractNumId w:val="0"/>
  </w:num>
  <w:num w:numId="11">
    <w:abstractNumId w:val="17"/>
  </w:num>
  <w:num w:numId="12">
    <w:abstractNumId w:val="18"/>
  </w:num>
  <w:num w:numId="13">
    <w:abstractNumId w:val="3"/>
  </w:num>
  <w:num w:numId="14">
    <w:abstractNumId w:val="14"/>
  </w:num>
  <w:num w:numId="15">
    <w:abstractNumId w:val="11"/>
  </w:num>
  <w:num w:numId="16">
    <w:abstractNumId w:val="5"/>
  </w:num>
  <w:num w:numId="17">
    <w:abstractNumId w:val="13"/>
  </w:num>
  <w:num w:numId="18">
    <w:abstractNumId w:val="10"/>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00"/>
    <w:rsid w:val="0003682A"/>
    <w:rsid w:val="00037FFC"/>
    <w:rsid w:val="00050523"/>
    <w:rsid w:val="0006065D"/>
    <w:rsid w:val="00061722"/>
    <w:rsid w:val="00070AE6"/>
    <w:rsid w:val="00087C08"/>
    <w:rsid w:val="000A41B5"/>
    <w:rsid w:val="000C0E7D"/>
    <w:rsid w:val="000C0FB5"/>
    <w:rsid w:val="000D2BED"/>
    <w:rsid w:val="000D7864"/>
    <w:rsid w:val="000E42C8"/>
    <w:rsid w:val="000F6C11"/>
    <w:rsid w:val="00111502"/>
    <w:rsid w:val="0013305D"/>
    <w:rsid w:val="00135CD7"/>
    <w:rsid w:val="001365C7"/>
    <w:rsid w:val="001416B4"/>
    <w:rsid w:val="001541D0"/>
    <w:rsid w:val="00155726"/>
    <w:rsid w:val="00156CEB"/>
    <w:rsid w:val="00157C8B"/>
    <w:rsid w:val="00160641"/>
    <w:rsid w:val="00163FBA"/>
    <w:rsid w:val="00165CAB"/>
    <w:rsid w:val="001A42C1"/>
    <w:rsid w:val="001B1A3E"/>
    <w:rsid w:val="001B2E44"/>
    <w:rsid w:val="001C0D5D"/>
    <w:rsid w:val="001C12FA"/>
    <w:rsid w:val="001C78DD"/>
    <w:rsid w:val="001D0D52"/>
    <w:rsid w:val="001D3069"/>
    <w:rsid w:val="001D4214"/>
    <w:rsid w:val="001D6CA5"/>
    <w:rsid w:val="001E1CF0"/>
    <w:rsid w:val="001F1FEE"/>
    <w:rsid w:val="00205001"/>
    <w:rsid w:val="00215B3F"/>
    <w:rsid w:val="00220450"/>
    <w:rsid w:val="002207D4"/>
    <w:rsid w:val="00222C33"/>
    <w:rsid w:val="002378B2"/>
    <w:rsid w:val="00250F1D"/>
    <w:rsid w:val="0025785F"/>
    <w:rsid w:val="00262CF1"/>
    <w:rsid w:val="002720F6"/>
    <w:rsid w:val="00273D46"/>
    <w:rsid w:val="00287235"/>
    <w:rsid w:val="00293A05"/>
    <w:rsid w:val="002A0619"/>
    <w:rsid w:val="002B0540"/>
    <w:rsid w:val="002B171B"/>
    <w:rsid w:val="002C7079"/>
    <w:rsid w:val="002D5C27"/>
    <w:rsid w:val="002E454D"/>
    <w:rsid w:val="002E4C34"/>
    <w:rsid w:val="002F06D7"/>
    <w:rsid w:val="00314692"/>
    <w:rsid w:val="003174CA"/>
    <w:rsid w:val="003214DD"/>
    <w:rsid w:val="003403D8"/>
    <w:rsid w:val="00342E28"/>
    <w:rsid w:val="00374FCE"/>
    <w:rsid w:val="003767D9"/>
    <w:rsid w:val="0038078F"/>
    <w:rsid w:val="0038094C"/>
    <w:rsid w:val="003A5021"/>
    <w:rsid w:val="003A7A8A"/>
    <w:rsid w:val="003E203F"/>
    <w:rsid w:val="003E25A8"/>
    <w:rsid w:val="003E3668"/>
    <w:rsid w:val="00405ACC"/>
    <w:rsid w:val="00417A00"/>
    <w:rsid w:val="00427502"/>
    <w:rsid w:val="00430CFE"/>
    <w:rsid w:val="00445588"/>
    <w:rsid w:val="00477C4D"/>
    <w:rsid w:val="004927F0"/>
    <w:rsid w:val="004A35E6"/>
    <w:rsid w:val="004A37C2"/>
    <w:rsid w:val="004B5F42"/>
    <w:rsid w:val="004C4C4B"/>
    <w:rsid w:val="004C61F8"/>
    <w:rsid w:val="00515D26"/>
    <w:rsid w:val="005551B7"/>
    <w:rsid w:val="005A1B55"/>
    <w:rsid w:val="005B251F"/>
    <w:rsid w:val="005B59B3"/>
    <w:rsid w:val="005C3BF6"/>
    <w:rsid w:val="005E02C6"/>
    <w:rsid w:val="005E2910"/>
    <w:rsid w:val="005E2D38"/>
    <w:rsid w:val="00602CB9"/>
    <w:rsid w:val="00607BC3"/>
    <w:rsid w:val="00632989"/>
    <w:rsid w:val="00647A7E"/>
    <w:rsid w:val="0065375F"/>
    <w:rsid w:val="006538C8"/>
    <w:rsid w:val="00671821"/>
    <w:rsid w:val="006C1DB9"/>
    <w:rsid w:val="006C2D7C"/>
    <w:rsid w:val="006C4703"/>
    <w:rsid w:val="006C64AF"/>
    <w:rsid w:val="006D6F46"/>
    <w:rsid w:val="006E1344"/>
    <w:rsid w:val="00716B02"/>
    <w:rsid w:val="0072305E"/>
    <w:rsid w:val="00726755"/>
    <w:rsid w:val="0073622C"/>
    <w:rsid w:val="00736DAA"/>
    <w:rsid w:val="00742CE0"/>
    <w:rsid w:val="0075617E"/>
    <w:rsid w:val="00774DF5"/>
    <w:rsid w:val="0078032C"/>
    <w:rsid w:val="007842A0"/>
    <w:rsid w:val="00797C0E"/>
    <w:rsid w:val="007A4056"/>
    <w:rsid w:val="007C4674"/>
    <w:rsid w:val="007C7203"/>
    <w:rsid w:val="007C7A94"/>
    <w:rsid w:val="007C7F60"/>
    <w:rsid w:val="007D1756"/>
    <w:rsid w:val="007D7054"/>
    <w:rsid w:val="007E559D"/>
    <w:rsid w:val="007F2718"/>
    <w:rsid w:val="00807606"/>
    <w:rsid w:val="00814EA7"/>
    <w:rsid w:val="008166E6"/>
    <w:rsid w:val="00817B0F"/>
    <w:rsid w:val="00827B5D"/>
    <w:rsid w:val="00831B07"/>
    <w:rsid w:val="0084638E"/>
    <w:rsid w:val="00867717"/>
    <w:rsid w:val="00872110"/>
    <w:rsid w:val="0089285A"/>
    <w:rsid w:val="00896CB1"/>
    <w:rsid w:val="008A6CEE"/>
    <w:rsid w:val="008E5800"/>
    <w:rsid w:val="008E6A1F"/>
    <w:rsid w:val="008F1617"/>
    <w:rsid w:val="008F61D3"/>
    <w:rsid w:val="00912418"/>
    <w:rsid w:val="009131EC"/>
    <w:rsid w:val="00922F74"/>
    <w:rsid w:val="00924A58"/>
    <w:rsid w:val="00935C33"/>
    <w:rsid w:val="009607F1"/>
    <w:rsid w:val="00960FDF"/>
    <w:rsid w:val="00972B53"/>
    <w:rsid w:val="00983F5B"/>
    <w:rsid w:val="009914D3"/>
    <w:rsid w:val="00993F92"/>
    <w:rsid w:val="00995876"/>
    <w:rsid w:val="009A7FCE"/>
    <w:rsid w:val="009B02EE"/>
    <w:rsid w:val="009C3E57"/>
    <w:rsid w:val="009C6903"/>
    <w:rsid w:val="009E09F2"/>
    <w:rsid w:val="009E0BD9"/>
    <w:rsid w:val="009E56D7"/>
    <w:rsid w:val="009F1B07"/>
    <w:rsid w:val="009F1BFD"/>
    <w:rsid w:val="009F789F"/>
    <w:rsid w:val="00A254A7"/>
    <w:rsid w:val="00A2682E"/>
    <w:rsid w:val="00A46902"/>
    <w:rsid w:val="00A53C7F"/>
    <w:rsid w:val="00A53E7A"/>
    <w:rsid w:val="00A77A6A"/>
    <w:rsid w:val="00AB52D9"/>
    <w:rsid w:val="00AD588F"/>
    <w:rsid w:val="00AD5A01"/>
    <w:rsid w:val="00AE2510"/>
    <w:rsid w:val="00AE5F3A"/>
    <w:rsid w:val="00AF12A5"/>
    <w:rsid w:val="00AF160A"/>
    <w:rsid w:val="00AF74A8"/>
    <w:rsid w:val="00B00ECA"/>
    <w:rsid w:val="00B25A72"/>
    <w:rsid w:val="00B424F6"/>
    <w:rsid w:val="00B46F3F"/>
    <w:rsid w:val="00B51C3A"/>
    <w:rsid w:val="00B537CE"/>
    <w:rsid w:val="00B62444"/>
    <w:rsid w:val="00B62F56"/>
    <w:rsid w:val="00B649F2"/>
    <w:rsid w:val="00B83471"/>
    <w:rsid w:val="00B867F2"/>
    <w:rsid w:val="00B87D7E"/>
    <w:rsid w:val="00B9151B"/>
    <w:rsid w:val="00B9205A"/>
    <w:rsid w:val="00B92BF7"/>
    <w:rsid w:val="00BA6835"/>
    <w:rsid w:val="00BB34D4"/>
    <w:rsid w:val="00BC2277"/>
    <w:rsid w:val="00BC2E80"/>
    <w:rsid w:val="00BE36AF"/>
    <w:rsid w:val="00BE7408"/>
    <w:rsid w:val="00BF4A7B"/>
    <w:rsid w:val="00C00018"/>
    <w:rsid w:val="00C04EC4"/>
    <w:rsid w:val="00C05303"/>
    <w:rsid w:val="00C0763D"/>
    <w:rsid w:val="00C302B8"/>
    <w:rsid w:val="00C356FF"/>
    <w:rsid w:val="00C42B46"/>
    <w:rsid w:val="00C620B5"/>
    <w:rsid w:val="00C722E9"/>
    <w:rsid w:val="00C76BBB"/>
    <w:rsid w:val="00C77F65"/>
    <w:rsid w:val="00C8267C"/>
    <w:rsid w:val="00C8635F"/>
    <w:rsid w:val="00C96A91"/>
    <w:rsid w:val="00C9778A"/>
    <w:rsid w:val="00CB272A"/>
    <w:rsid w:val="00CC6C24"/>
    <w:rsid w:val="00CD23B3"/>
    <w:rsid w:val="00CE0DAA"/>
    <w:rsid w:val="00CE139C"/>
    <w:rsid w:val="00D023B5"/>
    <w:rsid w:val="00D12562"/>
    <w:rsid w:val="00D219C6"/>
    <w:rsid w:val="00D24538"/>
    <w:rsid w:val="00D31D48"/>
    <w:rsid w:val="00D32739"/>
    <w:rsid w:val="00D33D8C"/>
    <w:rsid w:val="00D35881"/>
    <w:rsid w:val="00D36001"/>
    <w:rsid w:val="00D7649D"/>
    <w:rsid w:val="00D863FC"/>
    <w:rsid w:val="00D91572"/>
    <w:rsid w:val="00D93B2C"/>
    <w:rsid w:val="00DB76DC"/>
    <w:rsid w:val="00DC5A51"/>
    <w:rsid w:val="00DD0470"/>
    <w:rsid w:val="00DF3718"/>
    <w:rsid w:val="00E065D7"/>
    <w:rsid w:val="00E211A0"/>
    <w:rsid w:val="00E26FA7"/>
    <w:rsid w:val="00E33B1E"/>
    <w:rsid w:val="00E35181"/>
    <w:rsid w:val="00E45F25"/>
    <w:rsid w:val="00E47BDE"/>
    <w:rsid w:val="00E50BF5"/>
    <w:rsid w:val="00E65C0B"/>
    <w:rsid w:val="00E72BC3"/>
    <w:rsid w:val="00E73FFE"/>
    <w:rsid w:val="00E762B5"/>
    <w:rsid w:val="00E770E0"/>
    <w:rsid w:val="00E8035A"/>
    <w:rsid w:val="00E96D99"/>
    <w:rsid w:val="00EA1783"/>
    <w:rsid w:val="00EC4233"/>
    <w:rsid w:val="00ED071C"/>
    <w:rsid w:val="00ED1662"/>
    <w:rsid w:val="00ED1ABE"/>
    <w:rsid w:val="00ED1D09"/>
    <w:rsid w:val="00ED7AE4"/>
    <w:rsid w:val="00EF0D32"/>
    <w:rsid w:val="00EF0F49"/>
    <w:rsid w:val="00EF2949"/>
    <w:rsid w:val="00F20F73"/>
    <w:rsid w:val="00F221E6"/>
    <w:rsid w:val="00F306FC"/>
    <w:rsid w:val="00F3392A"/>
    <w:rsid w:val="00F3705A"/>
    <w:rsid w:val="00F865E8"/>
    <w:rsid w:val="00F92AC0"/>
    <w:rsid w:val="00F92ACC"/>
    <w:rsid w:val="00FB0AA3"/>
    <w:rsid w:val="00FB51CD"/>
    <w:rsid w:val="00FB7D8F"/>
    <w:rsid w:val="00FC759D"/>
    <w:rsid w:val="00FD0805"/>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styleId="NormalWeb">
    <w:name w:val="Normal (Web)"/>
    <w:basedOn w:val="Normal"/>
    <w:uiPriority w:val="99"/>
    <w:unhideWhenUsed/>
    <w:rsid w:val="00A53C7F"/>
    <w:pPr>
      <w:spacing w:before="100" w:beforeAutospacing="1" w:after="100" w:afterAutospacing="1" w:line="240" w:lineRule="auto"/>
      <w:jc w:val="left"/>
    </w:pPr>
    <w:rPr>
      <w:rFonts w:ascii="Times New Roman" w:eastAsiaTheme="minorEastAsia" w:hAnsi="Times New Roman" w:cs="Times New Roman"/>
      <w:szCs w:val="24"/>
      <w:lang w:val="en-GB" w:eastAsia="en-GB"/>
    </w:rPr>
  </w:style>
  <w:style w:type="paragraph" w:customStyle="1" w:styleId="Default">
    <w:name w:val="Default"/>
    <w:rsid w:val="007842A0"/>
    <w:pPr>
      <w:autoSpaceDE w:val="0"/>
      <w:autoSpaceDN w:val="0"/>
      <w:adjustRightInd w:val="0"/>
    </w:pPr>
    <w:rPr>
      <w:rFonts w:ascii="FormataBQ-Regular" w:hAnsi="FormataBQ-Regular" w:cs="FormataBQ-Regular"/>
      <w:color w:val="000000"/>
      <w:sz w:val="24"/>
      <w:szCs w:val="24"/>
    </w:rPr>
  </w:style>
  <w:style w:type="character" w:customStyle="1" w:styleId="A3">
    <w:name w:val="A3"/>
    <w:uiPriority w:val="99"/>
    <w:rsid w:val="007842A0"/>
    <w:rPr>
      <w:rFonts w:cs="FormataBQ-Regular"/>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styleId="NormalWeb">
    <w:name w:val="Normal (Web)"/>
    <w:basedOn w:val="Normal"/>
    <w:uiPriority w:val="99"/>
    <w:unhideWhenUsed/>
    <w:rsid w:val="00A53C7F"/>
    <w:pPr>
      <w:spacing w:before="100" w:beforeAutospacing="1" w:after="100" w:afterAutospacing="1" w:line="240" w:lineRule="auto"/>
      <w:jc w:val="left"/>
    </w:pPr>
    <w:rPr>
      <w:rFonts w:ascii="Times New Roman" w:eastAsiaTheme="minorEastAsia" w:hAnsi="Times New Roman" w:cs="Times New Roman"/>
      <w:szCs w:val="24"/>
      <w:lang w:val="en-GB" w:eastAsia="en-GB"/>
    </w:rPr>
  </w:style>
  <w:style w:type="paragraph" w:customStyle="1" w:styleId="Default">
    <w:name w:val="Default"/>
    <w:rsid w:val="007842A0"/>
    <w:pPr>
      <w:autoSpaceDE w:val="0"/>
      <w:autoSpaceDN w:val="0"/>
      <w:adjustRightInd w:val="0"/>
    </w:pPr>
    <w:rPr>
      <w:rFonts w:ascii="FormataBQ-Regular" w:hAnsi="FormataBQ-Regular" w:cs="FormataBQ-Regular"/>
      <w:color w:val="000000"/>
      <w:sz w:val="24"/>
      <w:szCs w:val="24"/>
    </w:rPr>
  </w:style>
  <w:style w:type="character" w:customStyle="1" w:styleId="A3">
    <w:name w:val="A3"/>
    <w:uiPriority w:val="99"/>
    <w:rsid w:val="007842A0"/>
    <w:rPr>
      <w:rFonts w:cs="FormataBQ-Regular"/>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COMRU SOP template.dotx</Template>
  <TotalTime>5</TotalTime>
  <Pages>10</Pages>
  <Words>2024</Words>
  <Characters>10753</Characters>
  <Application>Microsoft Office Word</Application>
  <DocSecurity>0</DocSecurity>
  <Lines>300</Lines>
  <Paragraphs>182</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12639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3</cp:revision>
  <cp:lastPrinted>2013-11-11T01:27:00Z</cp:lastPrinted>
  <dcterms:created xsi:type="dcterms:W3CDTF">2014-03-27T11:54:00Z</dcterms:created>
  <dcterms:modified xsi:type="dcterms:W3CDTF">2014-03-27T11:59:00Z</dcterms:modified>
</cp:coreProperties>
</file>